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7A6" w:rsidRPr="00D84FD8" w:rsidRDefault="004D60CB" w:rsidP="003D3A6E">
      <w:pPr>
        <w:jc w:val="right"/>
        <w:rPr>
          <w:b/>
          <w:bCs/>
          <w:i/>
          <w:iCs/>
        </w:rPr>
      </w:pPr>
      <w:r>
        <w:t>Tuesd</w:t>
      </w:r>
      <w:r w:rsidR="00EC7F07">
        <w:t>ay</w:t>
      </w:r>
      <w:r w:rsidR="00895ABC">
        <w:t xml:space="preserve">, </w:t>
      </w:r>
      <w:r>
        <w:t>17</w:t>
      </w:r>
      <w:r w:rsidR="00D84FD8">
        <w:t xml:space="preserve"> </w:t>
      </w:r>
      <w:r w:rsidR="00F14BC8">
        <w:t>November</w:t>
      </w:r>
      <w:r w:rsidR="00D84FD8">
        <w:t xml:space="preserve"> </w:t>
      </w:r>
      <w:r w:rsidR="00F14BC8">
        <w:t>2015</w:t>
      </w:r>
    </w:p>
    <w:p w:rsidR="00FF494E" w:rsidRPr="007147EE" w:rsidRDefault="004D6100" w:rsidP="003D3A6E">
      <w:pPr>
        <w:pStyle w:val="Heading1"/>
        <w:rPr>
          <w:i/>
        </w:rPr>
      </w:pPr>
      <w:r w:rsidRPr="007147EE">
        <w:t>Number of deaths decreasing</w:t>
      </w:r>
      <w:r w:rsidR="00EC7F07" w:rsidRPr="007147EE">
        <w:t>, but Aboriginal and Torres Strait Islander children still over represented</w:t>
      </w:r>
    </w:p>
    <w:p w:rsidR="00EC7F07" w:rsidRDefault="00EC7F07" w:rsidP="00EC7F07">
      <w:pPr>
        <w:spacing w:before="240" w:after="120" w:line="240" w:lineRule="auto"/>
        <w:rPr>
          <w:rFonts w:eastAsia="Times New Roman" w:cs="Arial"/>
          <w:bCs/>
          <w:iCs/>
          <w:szCs w:val="20"/>
        </w:rPr>
      </w:pPr>
      <w:r w:rsidRPr="00EC7F07">
        <w:rPr>
          <w:rFonts w:eastAsia="Times New Roman" w:cs="Arial"/>
          <w:bCs/>
          <w:iCs/>
          <w:szCs w:val="20"/>
        </w:rPr>
        <w:t xml:space="preserve">The ACT Children and Young People Death Review Committee’s </w:t>
      </w:r>
      <w:r>
        <w:rPr>
          <w:rFonts w:eastAsia="Times New Roman" w:cs="Arial"/>
          <w:bCs/>
          <w:iCs/>
          <w:szCs w:val="20"/>
        </w:rPr>
        <w:t xml:space="preserve">(CYPDRC, the committee) </w:t>
      </w:r>
      <w:r w:rsidRPr="00EC7F07">
        <w:rPr>
          <w:rFonts w:eastAsia="Times New Roman" w:cs="Arial"/>
          <w:bCs/>
          <w:iCs/>
          <w:szCs w:val="20"/>
        </w:rPr>
        <w:t xml:space="preserve">fourth annual report was tabled in the ACT Legislative Assembly today by the Minister for Children and Young People, Mick Gentleman. </w:t>
      </w:r>
    </w:p>
    <w:p w:rsidR="00EC7F07" w:rsidRDefault="00EC7F07" w:rsidP="00EC7F07">
      <w:pPr>
        <w:spacing w:before="240" w:after="120" w:line="240" w:lineRule="auto"/>
        <w:rPr>
          <w:rFonts w:eastAsia="Times New Roman" w:cs="Arial"/>
          <w:bCs/>
          <w:iCs/>
          <w:szCs w:val="20"/>
        </w:rPr>
      </w:pPr>
      <w:r>
        <w:rPr>
          <w:rFonts w:eastAsia="Times New Roman" w:cs="Arial"/>
          <w:bCs/>
          <w:iCs/>
          <w:szCs w:val="20"/>
        </w:rPr>
        <w:t>Among the key findings of the report are the general decline in overall incidence of death</w:t>
      </w:r>
      <w:r w:rsidR="000121E4">
        <w:rPr>
          <w:rFonts w:eastAsia="Times New Roman" w:cs="Arial"/>
          <w:bCs/>
          <w:iCs/>
          <w:szCs w:val="20"/>
        </w:rPr>
        <w:t xml:space="preserve"> and the overrepresentation of I</w:t>
      </w:r>
      <w:r>
        <w:rPr>
          <w:rFonts w:eastAsia="Times New Roman" w:cs="Arial"/>
          <w:bCs/>
          <w:iCs/>
          <w:szCs w:val="20"/>
        </w:rPr>
        <w:t>ndigenous children and young people among those who’ve died. The persistence of intentional self harm as a leading non-medically related cause of death is also a key finding.</w:t>
      </w:r>
    </w:p>
    <w:p w:rsidR="00EC7F07" w:rsidRDefault="00EC7F07" w:rsidP="00EC7F07">
      <w:pPr>
        <w:spacing w:before="240" w:after="120" w:line="240" w:lineRule="auto"/>
        <w:rPr>
          <w:rFonts w:eastAsia="Times New Roman" w:cs="Arial"/>
          <w:bCs/>
          <w:iCs/>
          <w:szCs w:val="20"/>
        </w:rPr>
      </w:pPr>
      <w:r>
        <w:rPr>
          <w:rFonts w:eastAsia="Times New Roman" w:cs="Arial"/>
          <w:bCs/>
          <w:iCs/>
          <w:szCs w:val="20"/>
        </w:rPr>
        <w:t>Dr Penny Gregory, Chair of the CYPDRC, said that “the report includes</w:t>
      </w:r>
      <w:r w:rsidRPr="00EC7F07">
        <w:rPr>
          <w:rFonts w:eastAsia="Times New Roman" w:cs="Arial"/>
          <w:bCs/>
          <w:iCs/>
          <w:szCs w:val="20"/>
        </w:rPr>
        <w:t xml:space="preserve"> information on the deaths of 155 children and young people under the age of 18 </w:t>
      </w:r>
      <w:r>
        <w:rPr>
          <w:rFonts w:eastAsia="Times New Roman" w:cs="Arial"/>
          <w:bCs/>
          <w:iCs/>
          <w:szCs w:val="20"/>
        </w:rPr>
        <w:t>recorded</w:t>
      </w:r>
      <w:r w:rsidRPr="00EC7F07">
        <w:rPr>
          <w:rFonts w:eastAsia="Times New Roman" w:cs="Arial"/>
          <w:bCs/>
          <w:iCs/>
          <w:szCs w:val="20"/>
        </w:rPr>
        <w:t xml:space="preserve"> on the Committee’s register over the period July 2010 - June 2015. </w:t>
      </w:r>
    </w:p>
    <w:p w:rsidR="00EC7F07" w:rsidRDefault="00EC7F07" w:rsidP="00EC7F07">
      <w:pPr>
        <w:spacing w:before="240" w:after="120" w:line="240" w:lineRule="auto"/>
        <w:rPr>
          <w:rFonts w:eastAsia="Times New Roman" w:cs="Arial"/>
          <w:bCs/>
          <w:iCs/>
          <w:szCs w:val="20"/>
        </w:rPr>
      </w:pPr>
      <w:r>
        <w:rPr>
          <w:rFonts w:eastAsia="Times New Roman" w:cs="Arial"/>
          <w:bCs/>
          <w:iCs/>
          <w:szCs w:val="20"/>
        </w:rPr>
        <w:t>“Overall, we’ve observed a</w:t>
      </w:r>
      <w:r w:rsidRPr="00EC7F07">
        <w:rPr>
          <w:rFonts w:eastAsia="Times New Roman" w:cs="Arial"/>
          <w:bCs/>
          <w:iCs/>
          <w:szCs w:val="20"/>
        </w:rPr>
        <w:t xml:space="preserve"> </w:t>
      </w:r>
      <w:r>
        <w:rPr>
          <w:rFonts w:eastAsia="Times New Roman" w:cs="Arial"/>
          <w:bCs/>
          <w:iCs/>
          <w:szCs w:val="20"/>
        </w:rPr>
        <w:t>moderate decline in the number of deaths of children and young people though this is likely to be stabilising.</w:t>
      </w:r>
    </w:p>
    <w:p w:rsidR="004D60CB" w:rsidRDefault="00F050E2" w:rsidP="00EC7F07">
      <w:pPr>
        <w:spacing w:before="240" w:after="120" w:line="240" w:lineRule="auto"/>
        <w:rPr>
          <w:rFonts w:eastAsia="Times New Roman" w:cs="Arial"/>
          <w:bCs/>
          <w:iCs/>
          <w:szCs w:val="20"/>
        </w:rPr>
      </w:pPr>
      <w:r>
        <w:rPr>
          <w:rFonts w:eastAsia="Times New Roman" w:cs="Arial"/>
          <w:bCs/>
          <w:iCs/>
          <w:noProof/>
          <w:szCs w:val="20"/>
          <w:lang w:eastAsia="en-AU"/>
        </w:rPr>
        <w:pict>
          <v:rect id="Rectangle 2" o:spid="_x0000_s1026" style="position:absolute;margin-left:-6.7pt;margin-top:1.15pt;width:467.15pt;height:1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" filled="f" strokecolor="#1f497d [3215]" strokeweight="1.5pt"/>
        </w:pict>
      </w:r>
      <w:r w:rsidR="004D60CB">
        <w:rPr>
          <w:rFonts w:eastAsia="Times New Roman" w:cs="Arial"/>
          <w:bCs/>
          <w:iCs/>
          <w:szCs w:val="20"/>
        </w:rPr>
        <w:t>“The key messages coming out of the report are:</w:t>
      </w:r>
    </w:p>
    <w:p w:rsidR="004D60CB" w:rsidRPr="00B94069" w:rsidRDefault="004D60CB" w:rsidP="004D60CB">
      <w:pPr>
        <w:pStyle w:val="ListParagraph"/>
        <w:numPr>
          <w:ilvl w:val="0"/>
          <w:numId w:val="8"/>
        </w:numPr>
        <w:spacing w:before="240" w:after="120"/>
        <w:rPr>
          <w:rFonts w:cs="Arial"/>
          <w:sz w:val="20"/>
        </w:rPr>
      </w:pPr>
      <w:r>
        <w:rPr>
          <w:rFonts w:cs="Arial"/>
          <w:sz w:val="20"/>
        </w:rPr>
        <w:t>The d</w:t>
      </w:r>
      <w:r w:rsidRPr="00B94069">
        <w:rPr>
          <w:rFonts w:cs="Arial"/>
          <w:sz w:val="20"/>
        </w:rPr>
        <w:t>ata indicates that</w:t>
      </w:r>
      <w:r>
        <w:rPr>
          <w:rFonts w:cs="Arial"/>
          <w:sz w:val="20"/>
        </w:rPr>
        <w:t xml:space="preserve"> the</w:t>
      </w:r>
      <w:r w:rsidRPr="00B94069">
        <w:rPr>
          <w:rFonts w:cs="Arial"/>
          <w:sz w:val="20"/>
        </w:rPr>
        <w:t xml:space="preserve"> rate of deaths where co-sleeping is a factor has dropped dramatically. It’</w:t>
      </w:r>
      <w:r>
        <w:rPr>
          <w:rFonts w:cs="Arial"/>
          <w:sz w:val="20"/>
        </w:rPr>
        <w:t>s a sign that the community ha</w:t>
      </w:r>
      <w:r w:rsidRPr="00B94069">
        <w:rPr>
          <w:rFonts w:cs="Arial"/>
          <w:sz w:val="20"/>
        </w:rPr>
        <w:t>s heard the message</w:t>
      </w:r>
      <w:r>
        <w:rPr>
          <w:rFonts w:cs="Arial"/>
          <w:sz w:val="20"/>
        </w:rPr>
        <w:t xml:space="preserve"> there</w:t>
      </w:r>
      <w:r w:rsidRPr="00B94069">
        <w:rPr>
          <w:rFonts w:cs="Arial"/>
          <w:sz w:val="20"/>
        </w:rPr>
        <w:t>.</w:t>
      </w:r>
    </w:p>
    <w:p w:rsidR="004D60CB" w:rsidRPr="00B94069" w:rsidRDefault="004D60CB" w:rsidP="004D60CB">
      <w:pPr>
        <w:pStyle w:val="ListParagraph"/>
        <w:numPr>
          <w:ilvl w:val="0"/>
          <w:numId w:val="8"/>
        </w:numPr>
        <w:spacing w:before="240" w:after="120"/>
        <w:rPr>
          <w:rFonts w:cs="Arial"/>
          <w:sz w:val="20"/>
        </w:rPr>
      </w:pPr>
      <w:r>
        <w:rPr>
          <w:rFonts w:cs="Arial"/>
          <w:sz w:val="20"/>
        </w:rPr>
        <w:t>Given the opportunities for incidental risk, t</w:t>
      </w:r>
      <w:r w:rsidRPr="00B94069">
        <w:rPr>
          <w:rFonts w:cs="Arial"/>
          <w:sz w:val="20"/>
        </w:rPr>
        <w:t>he committee encourages parents and guardians as well as the broader community to be vigilant about children: keep watch, lock pool gates, keep</w:t>
      </w:r>
      <w:r w:rsidR="000121E4">
        <w:rPr>
          <w:rFonts w:cs="Arial"/>
          <w:sz w:val="20"/>
        </w:rPr>
        <w:t xml:space="preserve"> button</w:t>
      </w:r>
      <w:r w:rsidRPr="00B94069">
        <w:rPr>
          <w:rFonts w:cs="Arial"/>
          <w:sz w:val="20"/>
        </w:rPr>
        <w:t xml:space="preserve"> batteries out of reach for instance. Be aware of the environment of where you live and where you visit.</w:t>
      </w:r>
    </w:p>
    <w:p w:rsidR="004D60CB" w:rsidRDefault="004D60CB" w:rsidP="004D60CB">
      <w:pPr>
        <w:pStyle w:val="ListParagraph"/>
        <w:numPr>
          <w:ilvl w:val="0"/>
          <w:numId w:val="8"/>
        </w:numPr>
        <w:spacing w:before="240" w:after="120"/>
        <w:rPr>
          <w:rFonts w:cs="Arial"/>
          <w:sz w:val="20"/>
        </w:rPr>
      </w:pPr>
      <w:r w:rsidRPr="00B94069">
        <w:rPr>
          <w:rFonts w:cs="Arial"/>
          <w:sz w:val="20"/>
        </w:rPr>
        <w:t xml:space="preserve">Look for signs and be aware of the children and young people </w:t>
      </w:r>
      <w:r>
        <w:rPr>
          <w:rFonts w:cs="Arial"/>
          <w:sz w:val="20"/>
        </w:rPr>
        <w:t>you</w:t>
      </w:r>
      <w:r w:rsidRPr="00B94069">
        <w:rPr>
          <w:rFonts w:cs="Arial"/>
          <w:sz w:val="20"/>
        </w:rPr>
        <w:t xml:space="preserve"> interact with. Understand how you can support them.</w:t>
      </w:r>
    </w:p>
    <w:p w:rsidR="004D6100" w:rsidRDefault="00411718" w:rsidP="00EC7F07">
      <w:pPr>
        <w:spacing w:before="240" w:after="120" w:line="240" w:lineRule="auto"/>
        <w:rPr>
          <w:rFonts w:eastAsia="Times New Roman" w:cs="Arial"/>
          <w:bCs/>
          <w:iCs/>
          <w:szCs w:val="20"/>
        </w:rPr>
      </w:pPr>
      <w:r>
        <w:rPr>
          <w:rFonts w:eastAsia="Times New Roman" w:cs="Arial"/>
          <w:bCs/>
          <w:iCs/>
          <w:szCs w:val="20"/>
        </w:rPr>
        <w:t>“It is good news to see some of the lowest annual rates of death on recor</w:t>
      </w:r>
      <w:r w:rsidR="004D6100">
        <w:rPr>
          <w:rFonts w:eastAsia="Times New Roman" w:cs="Arial"/>
          <w:bCs/>
          <w:iCs/>
          <w:szCs w:val="20"/>
        </w:rPr>
        <w:t>d in these last couple of years.</w:t>
      </w:r>
      <w:r>
        <w:rPr>
          <w:rFonts w:eastAsia="Times New Roman" w:cs="Arial"/>
          <w:bCs/>
          <w:iCs/>
          <w:szCs w:val="20"/>
        </w:rPr>
        <w:t xml:space="preserve"> </w:t>
      </w:r>
    </w:p>
    <w:p w:rsidR="00411718" w:rsidRDefault="00411718" w:rsidP="00EC7F07">
      <w:pPr>
        <w:spacing w:before="240" w:after="120" w:line="240" w:lineRule="auto"/>
        <w:rPr>
          <w:rFonts w:eastAsia="Times New Roman" w:cs="Arial"/>
          <w:bCs/>
          <w:iCs/>
          <w:szCs w:val="20"/>
        </w:rPr>
      </w:pPr>
      <w:r>
        <w:rPr>
          <w:rFonts w:eastAsia="Times New Roman" w:cs="Arial"/>
          <w:bCs/>
          <w:iCs/>
          <w:szCs w:val="20"/>
        </w:rPr>
        <w:t>“T</w:t>
      </w:r>
      <w:r w:rsidR="00EC7F07" w:rsidRPr="00EC7F07">
        <w:rPr>
          <w:rFonts w:eastAsia="Times New Roman" w:cs="Arial"/>
          <w:bCs/>
          <w:iCs/>
          <w:szCs w:val="20"/>
        </w:rPr>
        <w:t>he</w:t>
      </w:r>
      <w:r w:rsidR="004D6100">
        <w:rPr>
          <w:rFonts w:eastAsia="Times New Roman" w:cs="Arial"/>
          <w:bCs/>
          <w:iCs/>
          <w:szCs w:val="20"/>
        </w:rPr>
        <w:t>re is</w:t>
      </w:r>
      <w:r w:rsidR="00D8722B">
        <w:rPr>
          <w:rFonts w:eastAsia="Times New Roman" w:cs="Arial"/>
          <w:bCs/>
          <w:iCs/>
          <w:szCs w:val="20"/>
        </w:rPr>
        <w:t xml:space="preserve">, however, </w:t>
      </w:r>
      <w:r w:rsidR="004D6100">
        <w:rPr>
          <w:rFonts w:eastAsia="Times New Roman" w:cs="Arial"/>
          <w:bCs/>
          <w:iCs/>
          <w:szCs w:val="20"/>
        </w:rPr>
        <w:t>a</w:t>
      </w:r>
      <w:r w:rsidR="00EC7F07" w:rsidRPr="00EC7F07">
        <w:rPr>
          <w:rFonts w:eastAsia="Times New Roman" w:cs="Arial"/>
          <w:bCs/>
          <w:iCs/>
          <w:szCs w:val="20"/>
        </w:rPr>
        <w:t xml:space="preserve"> </w:t>
      </w:r>
      <w:r>
        <w:rPr>
          <w:rFonts w:eastAsia="Times New Roman" w:cs="Arial"/>
          <w:bCs/>
          <w:iCs/>
          <w:szCs w:val="20"/>
        </w:rPr>
        <w:t xml:space="preserve">stark </w:t>
      </w:r>
      <w:r w:rsidR="00EC7F07" w:rsidRPr="00EC7F07">
        <w:rPr>
          <w:rFonts w:eastAsia="Times New Roman" w:cs="Arial"/>
          <w:bCs/>
          <w:iCs/>
          <w:szCs w:val="20"/>
        </w:rPr>
        <w:t>over-representation of Aboriginal and</w:t>
      </w:r>
      <w:r w:rsidR="00D8722B">
        <w:rPr>
          <w:rFonts w:eastAsia="Times New Roman" w:cs="Arial"/>
          <w:bCs/>
          <w:iCs/>
          <w:szCs w:val="20"/>
        </w:rPr>
        <w:t xml:space="preserve"> Torres Strait Islander children</w:t>
      </w:r>
      <w:r w:rsidR="00EC7F07" w:rsidRPr="00EC7F07">
        <w:rPr>
          <w:rFonts w:eastAsia="Times New Roman" w:cs="Arial"/>
          <w:bCs/>
          <w:iCs/>
          <w:szCs w:val="20"/>
        </w:rPr>
        <w:t xml:space="preserve"> in a number of areas </w:t>
      </w:r>
      <w:r w:rsidR="004D6100">
        <w:rPr>
          <w:rFonts w:eastAsia="Times New Roman" w:cs="Arial"/>
          <w:bCs/>
          <w:iCs/>
          <w:szCs w:val="20"/>
        </w:rPr>
        <w:t xml:space="preserve">which </w:t>
      </w:r>
      <w:r w:rsidR="00EC7F07" w:rsidRPr="00EC7F07">
        <w:rPr>
          <w:rFonts w:eastAsia="Times New Roman" w:cs="Arial"/>
          <w:bCs/>
          <w:iCs/>
          <w:szCs w:val="20"/>
        </w:rPr>
        <w:t xml:space="preserve">is a continuing and disheartening feature of the report.  </w:t>
      </w:r>
    </w:p>
    <w:p w:rsidR="00411718" w:rsidRDefault="00411718" w:rsidP="00EC7F07">
      <w:pPr>
        <w:spacing w:before="240" w:after="120" w:line="240" w:lineRule="auto"/>
        <w:rPr>
          <w:rFonts w:eastAsia="Times New Roman" w:cs="Arial"/>
          <w:bCs/>
          <w:iCs/>
          <w:szCs w:val="20"/>
        </w:rPr>
      </w:pPr>
      <w:r>
        <w:rPr>
          <w:rFonts w:eastAsia="Times New Roman" w:cs="Arial"/>
          <w:bCs/>
          <w:iCs/>
          <w:szCs w:val="20"/>
        </w:rPr>
        <w:t>“</w:t>
      </w:r>
      <w:r w:rsidR="00EC7F07" w:rsidRPr="00EC7F07">
        <w:rPr>
          <w:rFonts w:eastAsia="Times New Roman" w:cs="Arial"/>
          <w:bCs/>
          <w:iCs/>
          <w:szCs w:val="20"/>
        </w:rPr>
        <w:t>In line with previous years</w:t>
      </w:r>
      <w:r w:rsidR="00D8722B">
        <w:rPr>
          <w:rFonts w:eastAsia="Times New Roman" w:cs="Arial"/>
          <w:bCs/>
          <w:iCs/>
          <w:szCs w:val="20"/>
        </w:rPr>
        <w:t xml:space="preserve"> and national trends</w:t>
      </w:r>
      <w:r w:rsidR="00EC7F07" w:rsidRPr="00EC7F07">
        <w:rPr>
          <w:rFonts w:eastAsia="Times New Roman" w:cs="Arial"/>
          <w:bCs/>
          <w:iCs/>
          <w:szCs w:val="20"/>
        </w:rPr>
        <w:t xml:space="preserve">, the ratio of deaths of Aboriginal and Torres Strait Islander children and young people was one </w:t>
      </w:r>
      <w:r w:rsidR="004D60CB">
        <w:rPr>
          <w:rFonts w:eastAsia="Times New Roman" w:cs="Arial"/>
          <w:bCs/>
          <w:iCs/>
          <w:szCs w:val="20"/>
        </w:rPr>
        <w:t>in every 13 deaths</w:t>
      </w:r>
      <w:r w:rsidR="004D6100">
        <w:rPr>
          <w:rFonts w:eastAsia="Times New Roman" w:cs="Arial"/>
          <w:bCs/>
          <w:iCs/>
          <w:szCs w:val="20"/>
        </w:rPr>
        <w:t xml:space="preserve"> where</w:t>
      </w:r>
      <w:r w:rsidR="004D60CB">
        <w:rPr>
          <w:rFonts w:eastAsia="Times New Roman" w:cs="Arial"/>
          <w:bCs/>
          <w:iCs/>
          <w:szCs w:val="20"/>
        </w:rPr>
        <w:t>, given the population</w:t>
      </w:r>
      <w:r w:rsidR="004D6100">
        <w:rPr>
          <w:rFonts w:eastAsia="Times New Roman" w:cs="Arial"/>
          <w:bCs/>
          <w:iCs/>
          <w:szCs w:val="20"/>
        </w:rPr>
        <w:t xml:space="preserve"> we’d actually expect to see </w:t>
      </w:r>
      <w:r w:rsidR="004D60CB">
        <w:rPr>
          <w:rFonts w:eastAsia="Times New Roman" w:cs="Arial"/>
          <w:bCs/>
          <w:iCs/>
          <w:szCs w:val="20"/>
        </w:rPr>
        <w:t>one death of an Aboriginal or Torres Strait Islander child in 55 deaths</w:t>
      </w:r>
      <w:r w:rsidR="004D6100">
        <w:rPr>
          <w:rFonts w:eastAsia="Times New Roman" w:cs="Arial"/>
          <w:bCs/>
          <w:iCs/>
          <w:szCs w:val="20"/>
        </w:rPr>
        <w:t>.</w:t>
      </w:r>
      <w:r w:rsidR="00EC7F07" w:rsidRPr="00EC7F07">
        <w:rPr>
          <w:rFonts w:eastAsia="Times New Roman" w:cs="Arial"/>
          <w:bCs/>
          <w:iCs/>
          <w:szCs w:val="20"/>
        </w:rPr>
        <w:t xml:space="preserve"> </w:t>
      </w:r>
    </w:p>
    <w:p w:rsidR="00EC7F07" w:rsidRPr="00EC7F07" w:rsidRDefault="004440AC" w:rsidP="00EC7F07">
      <w:pPr>
        <w:spacing w:before="240" w:after="120" w:line="240" w:lineRule="auto"/>
        <w:rPr>
          <w:rFonts w:eastAsia="Times New Roman" w:cs="Arial"/>
          <w:bCs/>
          <w:iCs/>
          <w:szCs w:val="20"/>
        </w:rPr>
      </w:pPr>
      <w:r>
        <w:rPr>
          <w:rFonts w:eastAsia="Times New Roman" w:cs="Arial"/>
          <w:bCs/>
          <w:iCs/>
          <w:szCs w:val="20"/>
        </w:rPr>
        <w:t>“</w:t>
      </w:r>
      <w:r w:rsidR="008D3BB5">
        <w:rPr>
          <w:rFonts w:eastAsia="Times New Roman" w:cs="Arial"/>
          <w:bCs/>
          <w:iCs/>
          <w:szCs w:val="20"/>
        </w:rPr>
        <w:t xml:space="preserve">The numbers around vulnerable young people also seem to be stable, though with such low numbers, it is hard to distinguish trends from the normal fluctuations over time. </w:t>
      </w:r>
      <w:r w:rsidR="00041CB8">
        <w:rPr>
          <w:rFonts w:eastAsia="Times New Roman" w:cs="Arial"/>
          <w:bCs/>
          <w:iCs/>
          <w:szCs w:val="20"/>
        </w:rPr>
        <w:t>With</w:t>
      </w:r>
      <w:r w:rsidR="008D3BB5">
        <w:rPr>
          <w:rFonts w:eastAsia="Times New Roman" w:cs="Arial"/>
          <w:bCs/>
          <w:iCs/>
          <w:szCs w:val="20"/>
        </w:rPr>
        <w:t xml:space="preserve"> eve</w:t>
      </w:r>
      <w:r w:rsidR="00041CB8">
        <w:rPr>
          <w:rFonts w:eastAsia="Times New Roman" w:cs="Arial"/>
          <w:bCs/>
          <w:iCs/>
          <w:szCs w:val="20"/>
        </w:rPr>
        <w:t>nts unfolding in Queensland</w:t>
      </w:r>
      <w:r w:rsidR="0062097F">
        <w:rPr>
          <w:rFonts w:eastAsia="Times New Roman" w:cs="Arial"/>
          <w:bCs/>
          <w:iCs/>
          <w:szCs w:val="20"/>
        </w:rPr>
        <w:t xml:space="preserve"> around the death of </w:t>
      </w:r>
      <w:proofErr w:type="spellStart"/>
      <w:r w:rsidR="0062097F" w:rsidRPr="0062097F">
        <w:rPr>
          <w:rFonts w:eastAsia="Times New Roman" w:cs="Arial"/>
          <w:bCs/>
          <w:iCs/>
          <w:szCs w:val="20"/>
        </w:rPr>
        <w:t>Tialeigh</w:t>
      </w:r>
      <w:proofErr w:type="spellEnd"/>
      <w:r w:rsidR="0062097F" w:rsidRPr="0062097F">
        <w:rPr>
          <w:rFonts w:eastAsia="Times New Roman" w:cs="Arial"/>
          <w:bCs/>
          <w:iCs/>
          <w:szCs w:val="20"/>
        </w:rPr>
        <w:t xml:space="preserve"> Palmer</w:t>
      </w:r>
      <w:r w:rsidR="00041CB8">
        <w:rPr>
          <w:rFonts w:eastAsia="Times New Roman" w:cs="Arial"/>
          <w:bCs/>
          <w:iCs/>
          <w:szCs w:val="20"/>
        </w:rPr>
        <w:t>, we are reminded</w:t>
      </w:r>
      <w:r w:rsidR="008D3BB5">
        <w:rPr>
          <w:rFonts w:eastAsia="Times New Roman" w:cs="Arial"/>
          <w:bCs/>
          <w:iCs/>
          <w:szCs w:val="20"/>
        </w:rPr>
        <w:t xml:space="preserve"> that we need to be alert when working with </w:t>
      </w:r>
      <w:r w:rsidR="00041CB8">
        <w:rPr>
          <w:rFonts w:eastAsia="Times New Roman" w:cs="Arial"/>
          <w:bCs/>
          <w:iCs/>
          <w:szCs w:val="20"/>
        </w:rPr>
        <w:t xml:space="preserve">and caring for </w:t>
      </w:r>
      <w:r w:rsidR="008D3BB5">
        <w:rPr>
          <w:rFonts w:eastAsia="Times New Roman" w:cs="Arial"/>
          <w:bCs/>
          <w:iCs/>
          <w:szCs w:val="20"/>
        </w:rPr>
        <w:t xml:space="preserve">our community’s most vulnerable residents.   </w:t>
      </w:r>
    </w:p>
    <w:p w:rsidR="00EC7F07" w:rsidRPr="00EC7F07" w:rsidRDefault="00041CB8" w:rsidP="00EC7F07">
      <w:pPr>
        <w:spacing w:before="240" w:after="120" w:line="240" w:lineRule="auto"/>
        <w:rPr>
          <w:rFonts w:eastAsia="Times New Roman" w:cs="Arial"/>
          <w:bCs/>
          <w:iCs/>
          <w:szCs w:val="20"/>
        </w:rPr>
      </w:pPr>
      <w:r>
        <w:rPr>
          <w:rFonts w:eastAsia="Times New Roman" w:cs="Arial"/>
          <w:bCs/>
          <w:iCs/>
          <w:szCs w:val="20"/>
        </w:rPr>
        <w:t>“L</w:t>
      </w:r>
      <w:r w:rsidR="00EC7F07" w:rsidRPr="00EC7F07">
        <w:rPr>
          <w:rFonts w:eastAsia="Times New Roman" w:cs="Arial"/>
          <w:bCs/>
          <w:iCs/>
          <w:szCs w:val="20"/>
        </w:rPr>
        <w:t xml:space="preserve">ast year’s report saw the number of suicides becoming great enough to be reported for the first time and this year that remained the case, with suicide being </w:t>
      </w:r>
      <w:r w:rsidR="003C7F26">
        <w:rPr>
          <w:rFonts w:eastAsia="Times New Roman" w:cs="Arial"/>
          <w:bCs/>
          <w:iCs/>
          <w:szCs w:val="20"/>
        </w:rPr>
        <w:t>a leading non-medical cause of death for young people</w:t>
      </w:r>
      <w:r w:rsidR="00EC7F07" w:rsidRPr="00EC7F07">
        <w:rPr>
          <w:rFonts w:eastAsia="Times New Roman" w:cs="Arial"/>
          <w:bCs/>
          <w:iCs/>
          <w:szCs w:val="20"/>
        </w:rPr>
        <w:t xml:space="preserve">.  </w:t>
      </w:r>
    </w:p>
    <w:p w:rsidR="00F06CCE" w:rsidRDefault="00F06CCE" w:rsidP="00F06CCE">
      <w:pPr>
        <w:spacing w:before="240" w:after="120" w:line="240" w:lineRule="auto"/>
        <w:rPr>
          <w:rFonts w:eastAsia="Times New Roman" w:cs="Arial"/>
          <w:bCs/>
          <w:iCs/>
          <w:szCs w:val="20"/>
        </w:rPr>
      </w:pPr>
      <w:r>
        <w:rPr>
          <w:rFonts w:eastAsia="Times New Roman" w:cs="Arial"/>
          <w:bCs/>
          <w:iCs/>
          <w:szCs w:val="20"/>
        </w:rPr>
        <w:lastRenderedPageBreak/>
        <w:t>“</w:t>
      </w:r>
      <w:r w:rsidR="00041CB8">
        <w:rPr>
          <w:rFonts w:eastAsia="Times New Roman" w:cs="Arial"/>
          <w:bCs/>
          <w:iCs/>
          <w:szCs w:val="20"/>
        </w:rPr>
        <w:t xml:space="preserve">The take-aways from this year’s report are </w:t>
      </w:r>
      <w:r>
        <w:rPr>
          <w:rFonts w:eastAsia="Times New Roman" w:cs="Arial"/>
          <w:bCs/>
          <w:iCs/>
          <w:szCs w:val="20"/>
        </w:rPr>
        <w:t>to be vigilant and watchful around our children and young people; look for signs and be aware of how you can support them to continue to be safe, well and happy.</w:t>
      </w:r>
    </w:p>
    <w:p w:rsidR="00EC7F07" w:rsidRPr="00EC7F07" w:rsidRDefault="00EC7F07" w:rsidP="00F06CCE">
      <w:pPr>
        <w:spacing w:before="240" w:after="120" w:line="240" w:lineRule="auto"/>
        <w:rPr>
          <w:rFonts w:eastAsia="Times New Roman" w:cs="Arial"/>
          <w:bCs/>
          <w:iCs/>
          <w:szCs w:val="20"/>
        </w:rPr>
      </w:pPr>
      <w:r w:rsidRPr="00EC7F07">
        <w:rPr>
          <w:rFonts w:eastAsia="Times New Roman" w:cs="Arial"/>
          <w:bCs/>
          <w:iCs/>
          <w:szCs w:val="20"/>
        </w:rPr>
        <w:t>“The devastation caused by the death of a child or young person is harrowing and I offer the Committee’s sincere condolences to the families, friends and communities who knew and loved the children and young peopl</w:t>
      </w:r>
      <w:r w:rsidR="00411718">
        <w:rPr>
          <w:rFonts w:eastAsia="Times New Roman" w:cs="Arial"/>
          <w:bCs/>
          <w:iCs/>
          <w:szCs w:val="20"/>
        </w:rPr>
        <w:t>e whose deaths are reported on.</w:t>
      </w:r>
    </w:p>
    <w:p w:rsidR="007147EE" w:rsidRPr="007147EE" w:rsidRDefault="007147EE" w:rsidP="007147EE">
      <w:pPr>
        <w:spacing w:after="0" w:line="240" w:lineRule="auto"/>
        <w:rPr>
          <w:rFonts w:eastAsia="Times New Roman" w:cs="Arial"/>
          <w:bCs/>
          <w:iCs/>
          <w:sz w:val="12"/>
          <w:szCs w:val="20"/>
        </w:rPr>
      </w:pPr>
    </w:p>
    <w:p w:rsidR="004231AB" w:rsidRPr="007147EE" w:rsidRDefault="007147EE" w:rsidP="007147EE">
      <w:pPr>
        <w:spacing w:after="0" w:line="240" w:lineRule="auto"/>
        <w:rPr>
          <w:rFonts w:eastAsia="Times New Roman" w:cs="Arial"/>
          <w:b/>
          <w:bCs/>
          <w:iCs/>
          <w:szCs w:val="20"/>
        </w:rPr>
      </w:pPr>
      <w:r w:rsidRPr="007147EE">
        <w:rPr>
          <w:rFonts w:eastAsia="Times New Roman" w:cs="Arial"/>
          <w:b/>
          <w:bCs/>
          <w:iCs/>
          <w:szCs w:val="20"/>
        </w:rPr>
        <w:t xml:space="preserve">The </w:t>
      </w:r>
      <w:r w:rsidR="00EC7F07" w:rsidRPr="007147EE">
        <w:rPr>
          <w:rFonts w:eastAsia="Times New Roman" w:cs="Arial"/>
          <w:b/>
          <w:bCs/>
          <w:iCs/>
          <w:szCs w:val="20"/>
        </w:rPr>
        <w:t xml:space="preserve">report can be found </w:t>
      </w:r>
      <w:r w:rsidRPr="007147EE">
        <w:rPr>
          <w:rFonts w:eastAsia="Times New Roman" w:cs="Arial"/>
          <w:b/>
          <w:bCs/>
          <w:iCs/>
          <w:szCs w:val="20"/>
        </w:rPr>
        <w:t xml:space="preserve">at: </w:t>
      </w:r>
      <w:hyperlink r:id="rId7" w:history="1">
        <w:r w:rsidR="00EC7F07" w:rsidRPr="007147EE">
          <w:rPr>
            <w:rStyle w:val="Hyperlink"/>
            <w:rFonts w:eastAsia="Times New Roman" w:cs="Arial"/>
            <w:b/>
            <w:bCs/>
            <w:iCs/>
            <w:szCs w:val="20"/>
          </w:rPr>
          <w:t>www.childdeathcommittee.act.gov.au</w:t>
        </w:r>
      </w:hyperlink>
      <w:r w:rsidR="00EC7F07" w:rsidRPr="007147EE">
        <w:rPr>
          <w:rFonts w:eastAsia="Times New Roman" w:cs="Arial"/>
          <w:b/>
          <w:bCs/>
          <w:iCs/>
          <w:szCs w:val="20"/>
        </w:rPr>
        <w:t xml:space="preserve">. </w:t>
      </w:r>
    </w:p>
    <w:p w:rsidR="004231AB" w:rsidRDefault="00F14BC8" w:rsidP="007147EE">
      <w:pPr>
        <w:spacing w:after="0" w:line="240" w:lineRule="auto"/>
        <w:rPr>
          <w:rFonts w:cs="Arial"/>
          <w:b/>
        </w:rPr>
      </w:pPr>
      <w:r>
        <w:rPr>
          <w:rFonts w:cs="Arial"/>
          <w:b/>
        </w:rPr>
        <w:t>Dr Gregory is available for further comment on the contact details below.</w:t>
      </w:r>
    </w:p>
    <w:p w:rsidR="00F041FD" w:rsidRDefault="00F050E2" w:rsidP="007147EE">
      <w:pPr>
        <w:spacing w:before="240" w:after="120" w:line="240" w:lineRule="auto"/>
        <w:rPr>
          <w:rFonts w:cs="Arial"/>
          <w:b/>
          <w:sz w:val="24"/>
        </w:rPr>
      </w:pPr>
      <w:r>
        <w:rPr>
          <w:rFonts w:cs="Arial"/>
          <w:b/>
          <w:sz w:val="24"/>
        </w:rPr>
        <w:pict>
          <v:rect id="_x0000_i1025" style="width:451.3pt;height:1pt;mso-position-vertical:absolute" o:hralign="center" o:hrstd="t" o:hrnoshade="t" o:hr="t" fillcolor="#1f497d [3215]" stroked="f"/>
        </w:pict>
      </w:r>
    </w:p>
    <w:p w:rsidR="00B94069" w:rsidRPr="007147EE" w:rsidRDefault="00B94069" w:rsidP="003D3A6E">
      <w:pPr>
        <w:pStyle w:val="Heading2"/>
        <w:rPr>
          <w:b w:val="0"/>
        </w:rPr>
      </w:pPr>
      <w:r w:rsidRPr="007147EE">
        <w:t>Key findings:</w:t>
      </w:r>
    </w:p>
    <w:p w:rsidR="00B94069" w:rsidRPr="00B94069" w:rsidRDefault="00B94069" w:rsidP="00B94069">
      <w:pPr>
        <w:pStyle w:val="ListParagraph"/>
        <w:numPr>
          <w:ilvl w:val="0"/>
          <w:numId w:val="8"/>
        </w:numPr>
        <w:spacing w:before="240" w:after="120"/>
        <w:rPr>
          <w:rFonts w:cs="Arial"/>
          <w:sz w:val="20"/>
        </w:rPr>
      </w:pPr>
      <w:r w:rsidRPr="00B94069">
        <w:rPr>
          <w:rFonts w:cs="Arial"/>
          <w:sz w:val="20"/>
        </w:rPr>
        <w:t>The overall trend of the number of child and young person deaths has been declining over recent years in the ACT.</w:t>
      </w:r>
    </w:p>
    <w:p w:rsidR="00B94069" w:rsidRPr="00B94069" w:rsidRDefault="00B94069" w:rsidP="00B94069">
      <w:pPr>
        <w:pStyle w:val="ListParagraph"/>
        <w:numPr>
          <w:ilvl w:val="0"/>
          <w:numId w:val="8"/>
        </w:numPr>
        <w:spacing w:before="240" w:after="120"/>
        <w:rPr>
          <w:rFonts w:cs="Arial"/>
          <w:sz w:val="20"/>
        </w:rPr>
      </w:pPr>
      <w:r w:rsidRPr="00B94069">
        <w:rPr>
          <w:rFonts w:cs="Arial"/>
          <w:sz w:val="20"/>
        </w:rPr>
        <w:t>Children and young people between the ages of 4 and 14 are far less likely to die than at other ages. It is not yet clear whether it is due to protective factors during these years or risks that are present at earlier and later ages.</w:t>
      </w:r>
    </w:p>
    <w:p w:rsidR="00B94069" w:rsidRPr="00B94069" w:rsidRDefault="00B94069" w:rsidP="00B94069">
      <w:pPr>
        <w:pStyle w:val="ListParagraph"/>
        <w:numPr>
          <w:ilvl w:val="0"/>
          <w:numId w:val="8"/>
        </w:numPr>
        <w:spacing w:before="240" w:after="120"/>
        <w:rPr>
          <w:rFonts w:cs="Arial"/>
          <w:sz w:val="20"/>
        </w:rPr>
      </w:pPr>
      <w:r w:rsidRPr="00B94069">
        <w:rPr>
          <w:rFonts w:cs="Arial"/>
          <w:sz w:val="20"/>
        </w:rPr>
        <w:t xml:space="preserve">Aboriginal and Torres Strait Islander children and young people are significantly overrepresented in the number of deaths occurring in the ACT. </w:t>
      </w:r>
    </w:p>
    <w:p w:rsidR="00B94069" w:rsidRPr="00B94069" w:rsidRDefault="00B94069" w:rsidP="00B94069">
      <w:pPr>
        <w:pStyle w:val="ListParagraph"/>
        <w:numPr>
          <w:ilvl w:val="0"/>
          <w:numId w:val="8"/>
        </w:numPr>
        <w:spacing w:before="240" w:after="120"/>
        <w:rPr>
          <w:rFonts w:cs="Arial"/>
          <w:sz w:val="20"/>
        </w:rPr>
      </w:pPr>
      <w:r w:rsidRPr="00B94069">
        <w:rPr>
          <w:rFonts w:cs="Arial"/>
          <w:sz w:val="20"/>
        </w:rPr>
        <w:t>Death caused by intentional self harm and suicide is a concern for the committee.</w:t>
      </w:r>
    </w:p>
    <w:p w:rsidR="00F041FD" w:rsidRDefault="00F041FD" w:rsidP="00EC7F07">
      <w:pPr>
        <w:spacing w:before="240" w:after="120" w:line="240" w:lineRule="auto"/>
        <w:rPr>
          <w:rFonts w:cs="Arial"/>
          <w:b/>
          <w:sz w:val="24"/>
        </w:rPr>
      </w:pPr>
    </w:p>
    <w:p w:rsidR="00EC7F07" w:rsidRPr="00F06CCE" w:rsidRDefault="00EC7F07" w:rsidP="003D3A6E">
      <w:pPr>
        <w:pStyle w:val="Heading2"/>
      </w:pPr>
      <w:r w:rsidRPr="00F06CCE">
        <w:t>Background Information on the report</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This report examine</w:t>
      </w:r>
      <w:r w:rsidR="000121E4">
        <w:rPr>
          <w:rFonts w:eastAsia="Times New Roman" w:cs="Arial"/>
          <w:bCs/>
          <w:iCs/>
          <w:szCs w:val="20"/>
        </w:rPr>
        <w:t>s</w:t>
      </w:r>
      <w:r w:rsidRPr="00F06CCE">
        <w:rPr>
          <w:rFonts w:eastAsia="Times New Roman" w:cs="Arial"/>
          <w:bCs/>
          <w:iCs/>
          <w:szCs w:val="20"/>
        </w:rPr>
        <w:t xml:space="preserve"> the deaths of all children and young people who died in the ACT as well as children and young people who usually reside in the ACT but who died elsewhere in the period </w:t>
      </w:r>
      <w:r w:rsidR="00D26232">
        <w:rPr>
          <w:rFonts w:eastAsia="Times New Roman" w:cs="Arial"/>
          <w:bCs/>
          <w:iCs/>
          <w:szCs w:val="20"/>
        </w:rPr>
        <w:t xml:space="preserve">July </w:t>
      </w:r>
      <w:r w:rsidRPr="00F06CCE">
        <w:rPr>
          <w:rFonts w:eastAsia="Times New Roman" w:cs="Arial"/>
          <w:bCs/>
          <w:iCs/>
          <w:szCs w:val="20"/>
        </w:rPr>
        <w:t xml:space="preserve">2010 to </w:t>
      </w:r>
      <w:r w:rsidR="00D26232">
        <w:rPr>
          <w:rFonts w:eastAsia="Times New Roman" w:cs="Arial"/>
          <w:bCs/>
          <w:iCs/>
          <w:szCs w:val="20"/>
        </w:rPr>
        <w:t>June 201</w:t>
      </w:r>
      <w:r w:rsidRPr="00F06CCE">
        <w:rPr>
          <w:rFonts w:eastAsia="Times New Roman" w:cs="Arial"/>
          <w:bCs/>
          <w:iCs/>
          <w:szCs w:val="20"/>
        </w:rPr>
        <w:t xml:space="preserve">5, with particular reference to </w:t>
      </w:r>
      <w:r w:rsidR="00D26232">
        <w:rPr>
          <w:rFonts w:eastAsia="Times New Roman" w:cs="Arial"/>
          <w:bCs/>
          <w:iCs/>
          <w:szCs w:val="20"/>
        </w:rPr>
        <w:t xml:space="preserve">July </w:t>
      </w:r>
      <w:r w:rsidRPr="00F06CCE">
        <w:rPr>
          <w:rFonts w:eastAsia="Times New Roman" w:cs="Arial"/>
          <w:bCs/>
          <w:iCs/>
          <w:szCs w:val="20"/>
        </w:rPr>
        <w:t>2014</w:t>
      </w:r>
      <w:r w:rsidR="00D26232">
        <w:rPr>
          <w:rFonts w:eastAsia="Times New Roman" w:cs="Arial"/>
          <w:bCs/>
          <w:iCs/>
          <w:szCs w:val="20"/>
        </w:rPr>
        <w:t xml:space="preserve"> to June 201</w:t>
      </w:r>
      <w:r w:rsidRPr="00F06CCE">
        <w:rPr>
          <w:rFonts w:eastAsia="Times New Roman" w:cs="Arial"/>
          <w:bCs/>
          <w:iCs/>
          <w:szCs w:val="20"/>
        </w:rPr>
        <w:t>5. Chapter 2 provide</w:t>
      </w:r>
      <w:r w:rsidR="000121E4">
        <w:rPr>
          <w:rFonts w:eastAsia="Times New Roman" w:cs="Arial"/>
          <w:bCs/>
          <w:iCs/>
          <w:szCs w:val="20"/>
        </w:rPr>
        <w:t>s</w:t>
      </w:r>
      <w:r w:rsidRPr="00F06CCE">
        <w:rPr>
          <w:rFonts w:eastAsia="Times New Roman" w:cs="Arial"/>
          <w:bCs/>
          <w:iCs/>
          <w:szCs w:val="20"/>
        </w:rPr>
        <w:t xml:space="preserve"> an overview of all deaths.</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Section 727S of the Act requires the ACTCYPDRC to report on the following information about the deaths of children and young people included on its register:</w:t>
      </w:r>
    </w:p>
    <w:p w:rsidR="00F06CCE" w:rsidRPr="00F06CCE" w:rsidRDefault="00F06CCE" w:rsidP="00F06CCE">
      <w:pPr>
        <w:numPr>
          <w:ilvl w:val="0"/>
          <w:numId w:val="5"/>
        </w:numPr>
        <w:spacing w:before="240" w:after="120" w:line="240" w:lineRule="auto"/>
        <w:ind w:left="714" w:hanging="357"/>
        <w:contextualSpacing/>
        <w:rPr>
          <w:rFonts w:eastAsia="Times New Roman" w:cs="Arial"/>
          <w:bCs/>
          <w:iCs/>
          <w:szCs w:val="20"/>
        </w:rPr>
      </w:pPr>
      <w:r w:rsidRPr="00F06CCE">
        <w:rPr>
          <w:rFonts w:eastAsia="Times New Roman" w:cs="Arial"/>
          <w:bCs/>
          <w:iCs/>
          <w:szCs w:val="20"/>
        </w:rPr>
        <w:t>total number of deaths</w:t>
      </w:r>
    </w:p>
    <w:p w:rsidR="00F06CCE" w:rsidRPr="00F06CCE" w:rsidRDefault="00F06CCE" w:rsidP="00F06CCE">
      <w:pPr>
        <w:numPr>
          <w:ilvl w:val="0"/>
          <w:numId w:val="5"/>
        </w:numPr>
        <w:spacing w:before="240" w:after="120" w:line="240" w:lineRule="auto"/>
        <w:ind w:left="714" w:hanging="357"/>
        <w:contextualSpacing/>
        <w:rPr>
          <w:rFonts w:eastAsia="Times New Roman" w:cs="Arial"/>
          <w:bCs/>
          <w:iCs/>
          <w:szCs w:val="20"/>
        </w:rPr>
      </w:pPr>
      <w:r w:rsidRPr="00F06CCE">
        <w:rPr>
          <w:rFonts w:eastAsia="Times New Roman" w:cs="Arial"/>
          <w:bCs/>
          <w:iCs/>
          <w:szCs w:val="20"/>
        </w:rPr>
        <w:t>age</w:t>
      </w:r>
    </w:p>
    <w:p w:rsidR="00F06CCE" w:rsidRPr="00F06CCE" w:rsidRDefault="00F06CCE" w:rsidP="00F06CCE">
      <w:pPr>
        <w:numPr>
          <w:ilvl w:val="0"/>
          <w:numId w:val="5"/>
        </w:numPr>
        <w:spacing w:before="240" w:after="120" w:line="240" w:lineRule="auto"/>
        <w:ind w:left="714" w:hanging="357"/>
        <w:contextualSpacing/>
        <w:rPr>
          <w:rFonts w:eastAsia="Times New Roman" w:cs="Arial"/>
          <w:bCs/>
          <w:iCs/>
          <w:szCs w:val="20"/>
        </w:rPr>
      </w:pPr>
      <w:r w:rsidRPr="00F06CCE">
        <w:rPr>
          <w:rFonts w:eastAsia="Times New Roman" w:cs="Arial"/>
          <w:bCs/>
          <w:iCs/>
          <w:szCs w:val="20"/>
        </w:rPr>
        <w:t>sex</w:t>
      </w:r>
    </w:p>
    <w:p w:rsidR="00F06CCE" w:rsidRPr="00F06CCE" w:rsidRDefault="00F06CCE" w:rsidP="00F06CCE">
      <w:pPr>
        <w:numPr>
          <w:ilvl w:val="0"/>
          <w:numId w:val="5"/>
        </w:numPr>
        <w:spacing w:before="240" w:after="120" w:line="240" w:lineRule="auto"/>
        <w:ind w:left="714" w:hanging="357"/>
        <w:contextualSpacing/>
        <w:rPr>
          <w:rFonts w:eastAsia="Times New Roman" w:cs="Arial"/>
          <w:bCs/>
          <w:iCs/>
          <w:szCs w:val="20"/>
        </w:rPr>
      </w:pPr>
      <w:r w:rsidRPr="00F06CCE">
        <w:rPr>
          <w:rFonts w:eastAsia="Times New Roman" w:cs="Arial"/>
          <w:bCs/>
          <w:iCs/>
          <w:szCs w:val="20"/>
        </w:rPr>
        <w:t>whether, within three years before his or her death, the child or young person, or a sibling of the child or young person, ‘was the subject of a report the director-general decided, under section 360(5), was a child protection report’</w:t>
      </w:r>
    </w:p>
    <w:p w:rsidR="00F06CCE" w:rsidRPr="00F06CCE" w:rsidRDefault="00F06CCE" w:rsidP="00F06CCE">
      <w:pPr>
        <w:numPr>
          <w:ilvl w:val="0"/>
          <w:numId w:val="5"/>
        </w:numPr>
        <w:spacing w:before="240" w:after="120" w:line="240" w:lineRule="auto"/>
        <w:ind w:left="714" w:hanging="357"/>
        <w:contextualSpacing/>
        <w:rPr>
          <w:rFonts w:eastAsia="Times New Roman" w:cs="Arial"/>
          <w:bCs/>
          <w:iCs/>
          <w:szCs w:val="20"/>
        </w:rPr>
      </w:pPr>
      <w:r w:rsidRPr="00F06CCE">
        <w:rPr>
          <w:rFonts w:eastAsia="Times New Roman" w:cs="Arial"/>
          <w:bCs/>
          <w:iCs/>
          <w:szCs w:val="20"/>
        </w:rPr>
        <w:t>any identified patterns or trends, both generally and also in relation to the child protection reports under section 360(5) of the Act.</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The ACTCYPDRC</w:t>
      </w:r>
      <w:r w:rsidRPr="00F06CCE" w:rsidDel="00E85783">
        <w:rPr>
          <w:rFonts w:eastAsia="Times New Roman" w:cs="Arial"/>
          <w:bCs/>
          <w:iCs/>
          <w:szCs w:val="20"/>
        </w:rPr>
        <w:t xml:space="preserve"> </w:t>
      </w:r>
      <w:r w:rsidRPr="00F06CCE">
        <w:rPr>
          <w:rFonts w:eastAsia="Times New Roman" w:cs="Arial"/>
          <w:bCs/>
          <w:iCs/>
          <w:szCs w:val="20"/>
        </w:rPr>
        <w:t xml:space="preserve">is dedicated to respecting the child, young person and their family’s right to privacy. Under section 727S(3) of the Act, the committee must not disclose the identity of a child or young person who has died or allow the identity of a child or young person to be established. </w:t>
      </w:r>
    </w:p>
    <w:p w:rsid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As with previous years, the decision has been taken to review the incidence of death over a five-year period. This is largely in response to the small number of deaths that occur in the jurisdiction each year. Conducting and reporting on analyses over a five-year period brings a level of stability to the data allowing for generalisations to the broader population. It also minimises the risk of breaching the confidentiality requirements stipulated in the Act whereby the committee must not reveal the identity or make possible the identification of any individual. Although greater rigour may be generated through the analysis of aggregate data, there are limitations and as such caution must be exercised when interpreting results</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lastRenderedPageBreak/>
        <w:t>In terms of numbers</w:t>
      </w:r>
      <w:r>
        <w:rPr>
          <w:rFonts w:eastAsia="Times New Roman" w:cs="Arial"/>
          <w:bCs/>
          <w:iCs/>
          <w:szCs w:val="20"/>
        </w:rPr>
        <w:t xml:space="preserve"> of deaths</w:t>
      </w:r>
      <w:r w:rsidRPr="00F06CCE">
        <w:rPr>
          <w:rFonts w:eastAsia="Times New Roman" w:cs="Arial"/>
          <w:bCs/>
          <w:iCs/>
          <w:szCs w:val="20"/>
        </w:rPr>
        <w:t>:</w:t>
      </w:r>
      <w:r w:rsidR="0062097F">
        <w:rPr>
          <w:rFonts w:eastAsia="Times New Roman" w:cs="Arial"/>
          <w:bCs/>
          <w:iCs/>
          <w:szCs w:val="20"/>
        </w:rPr>
        <w:t xml:space="preserve"> (where </w:t>
      </w:r>
      <w:r w:rsidR="0062097F">
        <w:sym w:font="Wingdings" w:char="F09F"/>
      </w:r>
      <w:r w:rsidR="0062097F">
        <w:t xml:space="preserve"> is &lt;5 deaths)</w:t>
      </w:r>
    </w:p>
    <w:tbl>
      <w:tblPr>
        <w:tblStyle w:val="TableGrid"/>
        <w:tblW w:w="0" w:type="auto"/>
        <w:jc w:val="center"/>
        <w:tblLook w:val="04A0" w:firstRow="1" w:lastRow="0" w:firstColumn="1" w:lastColumn="0" w:noHBand="0" w:noVBand="1"/>
      </w:tblPr>
      <w:tblGrid>
        <w:gridCol w:w="2438"/>
        <w:gridCol w:w="1701"/>
        <w:gridCol w:w="1701"/>
        <w:gridCol w:w="1701"/>
      </w:tblGrid>
      <w:tr w:rsidR="00F06CCE" w:rsidRPr="003062D9" w:rsidTr="004D6100">
        <w:trPr>
          <w:jc w:val="center"/>
        </w:trPr>
        <w:tc>
          <w:tcPr>
            <w:tcW w:w="2438" w:type="dxa"/>
            <w:shd w:val="clear" w:color="auto" w:fill="1F497D" w:themeFill="text2"/>
            <w:vAlign w:val="bottom"/>
          </w:tcPr>
          <w:p w:rsidR="00F06CCE" w:rsidRPr="00F42564" w:rsidRDefault="00F06CCE" w:rsidP="004D6100">
            <w:pPr>
              <w:spacing w:after="0"/>
              <w:rPr>
                <w:b/>
                <w:color w:val="FFFFFF" w:themeColor="background1"/>
              </w:rPr>
            </w:pPr>
          </w:p>
        </w:tc>
        <w:tc>
          <w:tcPr>
            <w:tcW w:w="1701" w:type="dxa"/>
            <w:shd w:val="clear" w:color="auto" w:fill="1F497D" w:themeFill="text2"/>
            <w:vAlign w:val="bottom"/>
          </w:tcPr>
          <w:p w:rsidR="00F06CCE" w:rsidRPr="00F42564" w:rsidRDefault="00F06CCE" w:rsidP="004D6100">
            <w:pPr>
              <w:spacing w:after="0"/>
              <w:jc w:val="right"/>
              <w:rPr>
                <w:b/>
                <w:color w:val="FFFFFF" w:themeColor="background1"/>
              </w:rPr>
            </w:pPr>
            <w:r w:rsidRPr="00F42564">
              <w:rPr>
                <w:b/>
                <w:color w:val="FFFFFF" w:themeColor="background1"/>
              </w:rPr>
              <w:t>10 years</w:t>
            </w:r>
          </w:p>
        </w:tc>
        <w:tc>
          <w:tcPr>
            <w:tcW w:w="1701" w:type="dxa"/>
            <w:shd w:val="clear" w:color="auto" w:fill="1F497D" w:themeFill="text2"/>
            <w:vAlign w:val="bottom"/>
          </w:tcPr>
          <w:p w:rsidR="00F06CCE" w:rsidRPr="00F42564" w:rsidRDefault="00F06CCE" w:rsidP="004D6100">
            <w:pPr>
              <w:spacing w:after="0"/>
              <w:jc w:val="right"/>
              <w:rPr>
                <w:b/>
                <w:color w:val="FFFFFF" w:themeColor="background1"/>
              </w:rPr>
            </w:pPr>
            <w:r w:rsidRPr="00F42564">
              <w:rPr>
                <w:b/>
                <w:color w:val="FFFFFF" w:themeColor="background1"/>
              </w:rPr>
              <w:t>5 years</w:t>
            </w:r>
          </w:p>
        </w:tc>
        <w:tc>
          <w:tcPr>
            <w:tcW w:w="1701" w:type="dxa"/>
            <w:shd w:val="clear" w:color="auto" w:fill="1F497D" w:themeFill="text2"/>
            <w:vAlign w:val="bottom"/>
          </w:tcPr>
          <w:p w:rsidR="00F06CCE" w:rsidRPr="00F42564" w:rsidRDefault="00F06CCE" w:rsidP="004D6100">
            <w:pPr>
              <w:spacing w:after="0"/>
              <w:jc w:val="right"/>
              <w:rPr>
                <w:b/>
                <w:color w:val="FFFFFF" w:themeColor="background1"/>
              </w:rPr>
            </w:pPr>
            <w:r w:rsidRPr="00F42564">
              <w:rPr>
                <w:b/>
                <w:color w:val="FFFFFF" w:themeColor="background1"/>
              </w:rPr>
              <w:t>1 year</w:t>
            </w:r>
          </w:p>
        </w:tc>
      </w:tr>
      <w:tr w:rsidR="00F06CCE" w:rsidRPr="003062D9" w:rsidTr="004D6100">
        <w:trPr>
          <w:jc w:val="center"/>
        </w:trPr>
        <w:tc>
          <w:tcPr>
            <w:tcW w:w="2438" w:type="dxa"/>
            <w:shd w:val="clear" w:color="auto" w:fill="1F497D" w:themeFill="text2"/>
            <w:vAlign w:val="bottom"/>
          </w:tcPr>
          <w:p w:rsidR="00F06CCE" w:rsidRPr="00F42564" w:rsidRDefault="00F06CCE" w:rsidP="004D6100">
            <w:pPr>
              <w:spacing w:after="0"/>
              <w:rPr>
                <w:b/>
                <w:color w:val="FFFFFF" w:themeColor="background1"/>
              </w:rPr>
            </w:pPr>
            <w:r w:rsidRPr="00F42564">
              <w:rPr>
                <w:b/>
                <w:color w:val="FFFFFF" w:themeColor="background1"/>
              </w:rPr>
              <w:t>All deaths</w:t>
            </w:r>
          </w:p>
        </w:tc>
        <w:tc>
          <w:tcPr>
            <w:tcW w:w="1701" w:type="dxa"/>
            <w:vAlign w:val="bottom"/>
          </w:tcPr>
          <w:p w:rsidR="00F06CCE" w:rsidRPr="00F42564" w:rsidRDefault="00F06CCE" w:rsidP="004D6100">
            <w:pPr>
              <w:spacing w:after="0"/>
              <w:jc w:val="right"/>
            </w:pPr>
            <w:r w:rsidRPr="00F42564">
              <w:t>383</w:t>
            </w:r>
          </w:p>
        </w:tc>
        <w:tc>
          <w:tcPr>
            <w:tcW w:w="1701" w:type="dxa"/>
            <w:vAlign w:val="bottom"/>
          </w:tcPr>
          <w:p w:rsidR="00F06CCE" w:rsidRPr="00F42564" w:rsidRDefault="00F06CCE" w:rsidP="004D6100">
            <w:pPr>
              <w:spacing w:after="0"/>
              <w:jc w:val="right"/>
            </w:pPr>
            <w:r w:rsidRPr="00F42564">
              <w:t>155</w:t>
            </w:r>
          </w:p>
        </w:tc>
        <w:tc>
          <w:tcPr>
            <w:tcW w:w="1701" w:type="dxa"/>
            <w:vAlign w:val="bottom"/>
          </w:tcPr>
          <w:p w:rsidR="00F06CCE" w:rsidRPr="00F42564" w:rsidRDefault="00F06CCE" w:rsidP="004D6100">
            <w:pPr>
              <w:spacing w:after="0"/>
              <w:jc w:val="right"/>
            </w:pPr>
            <w:r w:rsidRPr="00F42564">
              <w:t>29</w:t>
            </w:r>
          </w:p>
        </w:tc>
      </w:tr>
      <w:tr w:rsidR="00F06CCE" w:rsidRPr="003062D9" w:rsidTr="004D6100">
        <w:trPr>
          <w:jc w:val="center"/>
        </w:trPr>
        <w:tc>
          <w:tcPr>
            <w:tcW w:w="2438" w:type="dxa"/>
            <w:shd w:val="clear" w:color="auto" w:fill="1F497D" w:themeFill="text2"/>
            <w:vAlign w:val="bottom"/>
          </w:tcPr>
          <w:p w:rsidR="00F06CCE" w:rsidRPr="00F42564" w:rsidRDefault="00F06CCE" w:rsidP="004D6100">
            <w:pPr>
              <w:spacing w:after="0"/>
              <w:rPr>
                <w:b/>
                <w:color w:val="FFFFFF" w:themeColor="background1"/>
              </w:rPr>
            </w:pPr>
            <w:r w:rsidRPr="00F42564">
              <w:rPr>
                <w:b/>
                <w:color w:val="FFFFFF" w:themeColor="background1"/>
              </w:rPr>
              <w:t>ACT residents only</w:t>
            </w:r>
          </w:p>
        </w:tc>
        <w:tc>
          <w:tcPr>
            <w:tcW w:w="1701" w:type="dxa"/>
            <w:vAlign w:val="bottom"/>
          </w:tcPr>
          <w:p w:rsidR="00F06CCE" w:rsidRPr="00F42564" w:rsidRDefault="00F06CCE" w:rsidP="004D6100">
            <w:pPr>
              <w:spacing w:after="0"/>
              <w:jc w:val="right"/>
            </w:pPr>
            <w:r>
              <w:t>271</w:t>
            </w:r>
          </w:p>
        </w:tc>
        <w:tc>
          <w:tcPr>
            <w:tcW w:w="1701" w:type="dxa"/>
            <w:vAlign w:val="bottom"/>
          </w:tcPr>
          <w:p w:rsidR="00F06CCE" w:rsidRPr="00F42564" w:rsidRDefault="00F06CCE" w:rsidP="004D6100">
            <w:pPr>
              <w:spacing w:after="0"/>
              <w:jc w:val="right"/>
            </w:pPr>
            <w:r w:rsidRPr="00F42564">
              <w:t>117</w:t>
            </w:r>
          </w:p>
        </w:tc>
        <w:tc>
          <w:tcPr>
            <w:tcW w:w="1701" w:type="dxa"/>
            <w:vAlign w:val="bottom"/>
          </w:tcPr>
          <w:p w:rsidR="00F06CCE" w:rsidRPr="00F42564" w:rsidRDefault="00F06CCE" w:rsidP="004D6100">
            <w:pPr>
              <w:spacing w:after="0"/>
              <w:jc w:val="right"/>
            </w:pPr>
            <w:r w:rsidRPr="00F42564">
              <w:t>25</w:t>
            </w:r>
          </w:p>
        </w:tc>
      </w:tr>
      <w:tr w:rsidR="00F06CCE" w:rsidRPr="003062D9" w:rsidTr="004D6100">
        <w:trPr>
          <w:jc w:val="center"/>
        </w:trPr>
        <w:tc>
          <w:tcPr>
            <w:tcW w:w="2438" w:type="dxa"/>
            <w:shd w:val="clear" w:color="auto" w:fill="1F497D" w:themeFill="text2"/>
            <w:vAlign w:val="bottom"/>
          </w:tcPr>
          <w:p w:rsidR="00F06CCE" w:rsidRPr="00F42564" w:rsidRDefault="00F06CCE" w:rsidP="004D6100">
            <w:pPr>
              <w:spacing w:after="0"/>
              <w:rPr>
                <w:b/>
                <w:color w:val="FFFFFF" w:themeColor="background1"/>
              </w:rPr>
            </w:pPr>
            <w:r w:rsidRPr="00F42564">
              <w:rPr>
                <w:b/>
                <w:color w:val="FFFFFF" w:themeColor="background1"/>
              </w:rPr>
              <w:t>External residents</w:t>
            </w:r>
          </w:p>
        </w:tc>
        <w:tc>
          <w:tcPr>
            <w:tcW w:w="1701" w:type="dxa"/>
            <w:vAlign w:val="bottom"/>
          </w:tcPr>
          <w:p w:rsidR="00F06CCE" w:rsidRPr="00F42564" w:rsidRDefault="00F06CCE" w:rsidP="004D6100">
            <w:pPr>
              <w:spacing w:after="0"/>
              <w:jc w:val="right"/>
            </w:pPr>
            <w:r w:rsidRPr="00F42564">
              <w:t>97</w:t>
            </w:r>
          </w:p>
        </w:tc>
        <w:tc>
          <w:tcPr>
            <w:tcW w:w="1701" w:type="dxa"/>
            <w:vAlign w:val="bottom"/>
          </w:tcPr>
          <w:p w:rsidR="00F06CCE" w:rsidRPr="00F42564" w:rsidRDefault="00F06CCE" w:rsidP="004D6100">
            <w:pPr>
              <w:spacing w:after="0"/>
              <w:jc w:val="right"/>
            </w:pPr>
            <w:r w:rsidRPr="00F42564">
              <w:t>38</w:t>
            </w:r>
          </w:p>
        </w:tc>
        <w:tc>
          <w:tcPr>
            <w:tcW w:w="1701" w:type="dxa"/>
            <w:vAlign w:val="bottom"/>
          </w:tcPr>
          <w:p w:rsidR="00F06CCE" w:rsidRPr="00F42564" w:rsidRDefault="00F06CCE" w:rsidP="004D6100">
            <w:pPr>
              <w:spacing w:after="0"/>
              <w:jc w:val="right"/>
            </w:pPr>
            <w:r>
              <w:sym w:font="Wingdings" w:char="F09F"/>
            </w:r>
          </w:p>
        </w:tc>
      </w:tr>
      <w:tr w:rsidR="00F06CCE" w:rsidRPr="003062D9" w:rsidTr="004D6100">
        <w:trPr>
          <w:jc w:val="center"/>
        </w:trPr>
        <w:tc>
          <w:tcPr>
            <w:tcW w:w="2438" w:type="dxa"/>
            <w:shd w:val="clear" w:color="auto" w:fill="1F497D" w:themeFill="text2"/>
            <w:vAlign w:val="bottom"/>
          </w:tcPr>
          <w:p w:rsidR="00F06CCE" w:rsidRPr="00F42564" w:rsidRDefault="00F06CCE" w:rsidP="004D6100">
            <w:pPr>
              <w:spacing w:after="0"/>
              <w:rPr>
                <w:b/>
                <w:color w:val="FFFFFF" w:themeColor="background1"/>
              </w:rPr>
            </w:pPr>
            <w:r>
              <w:rPr>
                <w:b/>
                <w:color w:val="FFFFFF" w:themeColor="background1"/>
              </w:rPr>
              <w:t xml:space="preserve">Current </w:t>
            </w:r>
            <w:r w:rsidRPr="00F42564">
              <w:rPr>
                <w:b/>
                <w:color w:val="FFFFFF" w:themeColor="background1"/>
              </w:rPr>
              <w:t>Coronial cases</w:t>
            </w:r>
          </w:p>
        </w:tc>
        <w:tc>
          <w:tcPr>
            <w:tcW w:w="1701" w:type="dxa"/>
            <w:vAlign w:val="bottom"/>
          </w:tcPr>
          <w:p w:rsidR="00F06CCE" w:rsidRPr="00F42564" w:rsidRDefault="00F041FD" w:rsidP="004D6100">
            <w:pPr>
              <w:spacing w:after="0"/>
              <w:jc w:val="right"/>
            </w:pPr>
            <w:r>
              <w:t>7</w:t>
            </w:r>
          </w:p>
        </w:tc>
        <w:tc>
          <w:tcPr>
            <w:tcW w:w="1701" w:type="dxa"/>
            <w:vAlign w:val="bottom"/>
          </w:tcPr>
          <w:p w:rsidR="00F06CCE" w:rsidRPr="00F42564" w:rsidRDefault="00F041FD" w:rsidP="004D6100">
            <w:pPr>
              <w:spacing w:after="0"/>
              <w:jc w:val="right"/>
            </w:pPr>
            <w:r>
              <w:t>7</w:t>
            </w:r>
          </w:p>
        </w:tc>
        <w:tc>
          <w:tcPr>
            <w:tcW w:w="1701" w:type="dxa"/>
            <w:vAlign w:val="bottom"/>
          </w:tcPr>
          <w:p w:rsidR="00F06CCE" w:rsidRPr="00F42564" w:rsidRDefault="00F06CCE" w:rsidP="004D6100">
            <w:pPr>
              <w:spacing w:after="0"/>
              <w:jc w:val="right"/>
            </w:pPr>
            <w:r>
              <w:sym w:font="Wingdings" w:char="F09F"/>
            </w:r>
          </w:p>
        </w:tc>
      </w:tr>
      <w:tr w:rsidR="00F06CCE" w:rsidRPr="003062D9" w:rsidTr="004D6100">
        <w:trPr>
          <w:jc w:val="center"/>
        </w:trPr>
        <w:tc>
          <w:tcPr>
            <w:tcW w:w="2438" w:type="dxa"/>
            <w:shd w:val="clear" w:color="auto" w:fill="1F497D" w:themeFill="text2"/>
            <w:vAlign w:val="bottom"/>
          </w:tcPr>
          <w:p w:rsidR="00F06CCE" w:rsidRPr="00F42564" w:rsidRDefault="00F06CCE" w:rsidP="004D6100">
            <w:pPr>
              <w:spacing w:after="0"/>
              <w:rPr>
                <w:b/>
                <w:color w:val="FFFFFF" w:themeColor="background1"/>
              </w:rPr>
            </w:pPr>
            <w:r w:rsidRPr="00F42564">
              <w:rPr>
                <w:b/>
                <w:color w:val="FFFFFF" w:themeColor="background1"/>
              </w:rPr>
              <w:t>No data</w:t>
            </w:r>
          </w:p>
        </w:tc>
        <w:tc>
          <w:tcPr>
            <w:tcW w:w="1701" w:type="dxa"/>
            <w:vAlign w:val="bottom"/>
          </w:tcPr>
          <w:p w:rsidR="00F06CCE" w:rsidRPr="00F42564" w:rsidRDefault="00F06CCE" w:rsidP="004D6100">
            <w:pPr>
              <w:spacing w:after="0"/>
              <w:jc w:val="right"/>
            </w:pPr>
            <w:r w:rsidRPr="00F42564">
              <w:t>15</w:t>
            </w:r>
          </w:p>
        </w:tc>
        <w:tc>
          <w:tcPr>
            <w:tcW w:w="1701" w:type="dxa"/>
            <w:vAlign w:val="bottom"/>
          </w:tcPr>
          <w:p w:rsidR="00F06CCE" w:rsidRPr="00F42564" w:rsidRDefault="00F06CCE" w:rsidP="004D6100">
            <w:pPr>
              <w:spacing w:after="0"/>
              <w:jc w:val="right"/>
            </w:pPr>
            <w:r w:rsidRPr="00F42564">
              <w:t>-</w:t>
            </w:r>
          </w:p>
        </w:tc>
        <w:tc>
          <w:tcPr>
            <w:tcW w:w="1701" w:type="dxa"/>
            <w:vAlign w:val="bottom"/>
          </w:tcPr>
          <w:p w:rsidR="00F06CCE" w:rsidRPr="00F42564" w:rsidRDefault="00F06CCE" w:rsidP="004D6100">
            <w:pPr>
              <w:spacing w:after="0"/>
              <w:jc w:val="right"/>
            </w:pPr>
            <w:r w:rsidRPr="00F42564">
              <w:t>-</w:t>
            </w:r>
          </w:p>
        </w:tc>
      </w:tr>
      <w:tr w:rsidR="00F06CCE" w:rsidRPr="003062D9" w:rsidTr="004D6100">
        <w:trPr>
          <w:jc w:val="center"/>
        </w:trPr>
        <w:tc>
          <w:tcPr>
            <w:tcW w:w="2438" w:type="dxa"/>
            <w:shd w:val="clear" w:color="auto" w:fill="1F497D" w:themeFill="text2"/>
            <w:vAlign w:val="bottom"/>
          </w:tcPr>
          <w:p w:rsidR="00F06CCE" w:rsidRPr="00F42564" w:rsidRDefault="00F06CCE" w:rsidP="004D6100">
            <w:pPr>
              <w:spacing w:after="0"/>
              <w:rPr>
                <w:b/>
                <w:color w:val="FFFFFF" w:themeColor="background1"/>
              </w:rPr>
            </w:pPr>
            <w:r w:rsidRPr="00F42564">
              <w:rPr>
                <w:b/>
                <w:color w:val="FFFFFF" w:themeColor="background1"/>
              </w:rPr>
              <w:t>Total incl in analysis</w:t>
            </w:r>
          </w:p>
        </w:tc>
        <w:tc>
          <w:tcPr>
            <w:tcW w:w="1701" w:type="dxa"/>
            <w:vAlign w:val="bottom"/>
          </w:tcPr>
          <w:p w:rsidR="00F06CCE" w:rsidRPr="00F42564" w:rsidRDefault="00F06CCE" w:rsidP="004D6100">
            <w:pPr>
              <w:spacing w:after="0"/>
              <w:jc w:val="right"/>
            </w:pPr>
            <w:r w:rsidRPr="00F42564">
              <w:t>383</w:t>
            </w:r>
          </w:p>
        </w:tc>
        <w:tc>
          <w:tcPr>
            <w:tcW w:w="1701" w:type="dxa"/>
            <w:vAlign w:val="bottom"/>
          </w:tcPr>
          <w:p w:rsidR="00F06CCE" w:rsidRPr="00F42564" w:rsidRDefault="00F06CCE" w:rsidP="004D6100">
            <w:pPr>
              <w:spacing w:after="0"/>
              <w:jc w:val="right"/>
            </w:pPr>
            <w:r w:rsidRPr="00F42564">
              <w:t>11</w:t>
            </w:r>
            <w:r w:rsidR="00F041FD">
              <w:t>1</w:t>
            </w:r>
          </w:p>
        </w:tc>
        <w:tc>
          <w:tcPr>
            <w:tcW w:w="1701" w:type="dxa"/>
            <w:vAlign w:val="bottom"/>
          </w:tcPr>
          <w:p w:rsidR="00F06CCE" w:rsidRPr="00F42564" w:rsidRDefault="00F06CCE" w:rsidP="00F041FD">
            <w:pPr>
              <w:spacing w:after="0"/>
              <w:jc w:val="right"/>
            </w:pPr>
            <w:r w:rsidRPr="00F42564">
              <w:t>2</w:t>
            </w:r>
            <w:r w:rsidR="00F041FD">
              <w:t>2</w:t>
            </w:r>
          </w:p>
        </w:tc>
      </w:tr>
    </w:tbl>
    <w:p w:rsidR="00F06CCE" w:rsidRDefault="00F06CCE" w:rsidP="00F06CCE">
      <w:pPr>
        <w:spacing w:before="240" w:after="120" w:line="240" w:lineRule="auto"/>
        <w:rPr>
          <w:rFonts w:eastAsia="Times New Roman" w:cs="Arial"/>
          <w:bCs/>
          <w:iCs/>
          <w:szCs w:val="20"/>
        </w:rPr>
      </w:pPr>
    </w:p>
    <w:p w:rsidR="00F06CCE" w:rsidRPr="00F06CCE" w:rsidRDefault="00F06CCE" w:rsidP="003D3A6E">
      <w:pPr>
        <w:pStyle w:val="Heading2"/>
      </w:pPr>
      <w:r w:rsidRPr="00F06CCE">
        <w:t xml:space="preserve">Background Information on the </w:t>
      </w:r>
      <w:r>
        <w:t>committee</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 xml:space="preserve">The ACT Children and Young People Death Review Committee is established under the Children and Young People Act 2008 to work towards reducing the number of deaths of ACT children and young people. The committee reports to the Minister for Children and Young People.  </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 xml:space="preserve">The legislation sets out the requirement for the committee members to have experience and expertise in a number of different areas, including paediatrics, education, social work, child safety products and working with Aboriginal and Torres Strait Islander children </w:t>
      </w:r>
      <w:r w:rsidR="00F050E2">
        <w:rPr>
          <w:rFonts w:eastAsia="Times New Roman" w:cs="Arial"/>
          <w:bCs/>
          <w:iCs/>
          <w:szCs w:val="20"/>
        </w:rPr>
        <w:t>-+</w:t>
      </w:r>
      <w:bookmarkStart w:id="0" w:name="_GoBack"/>
      <w:bookmarkEnd w:id="0"/>
      <w:r w:rsidRPr="00F06CCE">
        <w:rPr>
          <w:rFonts w:eastAsia="Times New Roman" w:cs="Arial"/>
          <w:bCs/>
          <w:iCs/>
          <w:szCs w:val="20"/>
        </w:rPr>
        <w:t>and young people.</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The committee aims to find out what can be learnt from a child’s or young person’s death to help prevent similar deaths from happening in the future.</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To assist with this aim, we keep a register of all the deaths of ACT children and young people who die before they turn 18, and use the information on the register to learn more about why children and young people die in the ACT.</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We can make recommendations about changes to legislation, policies, practices and services to both government and non-government organisations.</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The committee does not investigate or determine the cause of death of a particular child or young person. We do not place blame or seek to identify underperformance.</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The committee provides its annual report to the Minister for Children and Young People and the ACT Legislative Assembly on the deaths of children and young people in the ACT.</w:t>
      </w:r>
    </w:p>
    <w:p w:rsidR="00F06CCE" w:rsidRPr="00F06CCE" w:rsidRDefault="00F06CCE" w:rsidP="00F06CCE">
      <w:pPr>
        <w:spacing w:before="240" w:after="120" w:line="240" w:lineRule="auto"/>
        <w:rPr>
          <w:rFonts w:eastAsia="Times New Roman" w:cs="Arial"/>
          <w:bCs/>
          <w:iCs/>
          <w:szCs w:val="20"/>
        </w:rPr>
      </w:pPr>
      <w:r w:rsidRPr="00F06CCE">
        <w:rPr>
          <w:rFonts w:eastAsia="Times New Roman" w:cs="Arial"/>
          <w:bCs/>
          <w:iCs/>
          <w:szCs w:val="20"/>
        </w:rPr>
        <w:t>We also issue reports and fact sheets on different topics to help raise awareness or to spread prevention messages in the community.</w:t>
      </w:r>
    </w:p>
    <w:p w:rsidR="00EC7F07" w:rsidRPr="001665A8" w:rsidRDefault="00EC7F07" w:rsidP="001665A8">
      <w:pPr>
        <w:spacing w:after="120" w:line="240" w:lineRule="auto"/>
        <w:rPr>
          <w:rFonts w:cs="Arial"/>
          <w:b/>
        </w:rPr>
      </w:pPr>
    </w:p>
    <w:sectPr w:rsidR="00EC7F07" w:rsidRPr="001665A8" w:rsidSect="004D6ECB">
      <w:headerReference w:type="default" r:id="rId8"/>
      <w:footerReference w:type="default" r:id="rId9"/>
      <w:headerReference w:type="first" r:id="rId10"/>
      <w:footerReference w:type="first" r:id="rId11"/>
      <w:pgSz w:w="11906" w:h="16838"/>
      <w:pgMar w:top="1237" w:right="1440" w:bottom="1134" w:left="1440" w:header="567" w:footer="4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189" w:rsidRDefault="00F23189" w:rsidP="002D75ED">
      <w:pPr>
        <w:spacing w:after="0" w:line="240" w:lineRule="auto"/>
      </w:pPr>
      <w:r>
        <w:separator/>
      </w:r>
    </w:p>
  </w:endnote>
  <w:endnote w:type="continuationSeparator" w:id="0">
    <w:p w:rsidR="00F23189" w:rsidRDefault="00F23189" w:rsidP="002D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FD" w:rsidRPr="004D6ECB" w:rsidRDefault="00F041FD" w:rsidP="004D6ECB">
    <w:pPr>
      <w:pStyle w:val="Footer"/>
      <w:tabs>
        <w:tab w:val="clear" w:pos="4153"/>
        <w:tab w:val="clear" w:pos="8306"/>
      </w:tabs>
      <w:ind w:left="-567" w:right="-472"/>
      <w:jc w:val="center"/>
      <w:rPr>
        <w:rFonts w:ascii="Century Gothic" w:hAnsi="Century Gothic"/>
        <w:sz w:val="18"/>
      </w:rPr>
    </w:pPr>
    <w:r w:rsidRPr="004D6ECB">
      <w:rPr>
        <w:rFonts w:ascii="Century Gothic" w:hAnsi="Century Gothic"/>
        <w:b/>
        <w:sz w:val="18"/>
      </w:rPr>
      <w:t>Media Contact:</w:t>
    </w:r>
    <w:r>
      <w:rPr>
        <w:rFonts w:ascii="Century Gothic" w:hAnsi="Century Gothic"/>
        <w:sz w:val="18"/>
      </w:rPr>
      <w:t xml:space="preserve">   Dr Penny Gregory     Ph: 02 6201 9013    </w:t>
    </w:r>
    <w:r w:rsidRPr="004D6ECB">
      <w:rPr>
        <w:rFonts w:ascii="Century Gothic" w:hAnsi="Century Gothic"/>
        <w:sz w:val="18"/>
      </w:rPr>
      <w:t>Mob: 0418 454 924</w:t>
    </w:r>
    <w:r>
      <w:rPr>
        <w:rFonts w:ascii="Century Gothic" w:hAnsi="Century Gothic"/>
        <w:sz w:val="18"/>
      </w:rPr>
      <w:t xml:space="preserve">    </w:t>
    </w:r>
    <w:r w:rsidRPr="004D6ECB">
      <w:rPr>
        <w:rFonts w:ascii="Century Gothic" w:hAnsi="Century Gothic"/>
        <w:sz w:val="18"/>
      </w:rPr>
      <w:t>penny.gregory@nousgroup.com.au</w:t>
    </w:r>
  </w:p>
  <w:p w:rsidR="00F041FD" w:rsidRPr="004D6ECB" w:rsidRDefault="00F041FD" w:rsidP="004D6ECB">
    <w:pPr>
      <w:pStyle w:val="Footer"/>
      <w:tabs>
        <w:tab w:val="clear" w:pos="8306"/>
        <w:tab w:val="right" w:pos="9498"/>
      </w:tabs>
      <w:spacing w:before="120"/>
      <w:ind w:left="-567" w:right="-471"/>
      <w:jc w:val="right"/>
      <w:rPr>
        <w:rFonts w:ascii="Century Gothic" w:hAnsi="Century Gothic"/>
        <w:sz w:val="16"/>
      </w:rPr>
    </w:pPr>
    <w:r w:rsidRPr="004D6ECB">
      <w:rPr>
        <w:rFonts w:ascii="Century Gothic" w:hAnsi="Century Gothic"/>
        <w:sz w:val="16"/>
      </w:rPr>
      <w:t>ACT Children and Young people Death Review Committee Media Release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FD" w:rsidRPr="004D6ECB" w:rsidRDefault="00F041FD" w:rsidP="004D6ECB">
    <w:pPr>
      <w:pStyle w:val="Footer"/>
      <w:tabs>
        <w:tab w:val="clear" w:pos="4153"/>
        <w:tab w:val="clear" w:pos="8306"/>
      </w:tabs>
      <w:ind w:left="-567" w:right="-472"/>
      <w:jc w:val="center"/>
      <w:rPr>
        <w:rFonts w:ascii="Century Gothic" w:hAnsi="Century Gothic"/>
        <w:sz w:val="18"/>
      </w:rPr>
    </w:pPr>
    <w:r w:rsidRPr="004D6ECB">
      <w:rPr>
        <w:rFonts w:ascii="Century Gothic" w:hAnsi="Century Gothic"/>
        <w:b/>
        <w:sz w:val="18"/>
      </w:rPr>
      <w:t>Media Contact:</w:t>
    </w:r>
    <w:r>
      <w:rPr>
        <w:rFonts w:ascii="Century Gothic" w:hAnsi="Century Gothic"/>
        <w:sz w:val="18"/>
      </w:rPr>
      <w:t xml:space="preserve">   Dr Penny Gregory     Ph: 02 6201 9013    </w:t>
    </w:r>
    <w:r w:rsidRPr="004D6ECB">
      <w:rPr>
        <w:rFonts w:ascii="Century Gothic" w:hAnsi="Century Gothic"/>
        <w:sz w:val="18"/>
      </w:rPr>
      <w:t>Mob: 0418 454 924</w:t>
    </w:r>
    <w:r>
      <w:rPr>
        <w:rFonts w:ascii="Century Gothic" w:hAnsi="Century Gothic"/>
        <w:sz w:val="18"/>
      </w:rPr>
      <w:t xml:space="preserve">    </w:t>
    </w:r>
    <w:r w:rsidRPr="004D6ECB">
      <w:rPr>
        <w:rFonts w:ascii="Century Gothic" w:hAnsi="Century Gothic"/>
        <w:sz w:val="18"/>
      </w:rPr>
      <w:t>penny.gregory@nousgroup.com.au</w:t>
    </w:r>
  </w:p>
  <w:p w:rsidR="00F041FD" w:rsidRPr="004D6ECB" w:rsidRDefault="00F041FD" w:rsidP="004D6ECB">
    <w:pPr>
      <w:pStyle w:val="Footer"/>
      <w:tabs>
        <w:tab w:val="clear" w:pos="8306"/>
        <w:tab w:val="right" w:pos="9498"/>
      </w:tabs>
      <w:spacing w:before="120"/>
      <w:ind w:left="-567" w:right="-471"/>
      <w:jc w:val="right"/>
      <w:rPr>
        <w:rFonts w:ascii="Century Gothic" w:hAnsi="Century Gothic"/>
        <w:sz w:val="16"/>
      </w:rPr>
    </w:pPr>
    <w:r w:rsidRPr="004D6ECB">
      <w:rPr>
        <w:rFonts w:ascii="Century Gothic" w:hAnsi="Century Gothic"/>
        <w:sz w:val="16"/>
      </w:rPr>
      <w:t>ACT Children and Young people Death Review Committee Media Release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189" w:rsidRDefault="00F23189" w:rsidP="002D75ED">
      <w:pPr>
        <w:spacing w:after="0" w:line="240" w:lineRule="auto"/>
      </w:pPr>
      <w:r>
        <w:separator/>
      </w:r>
    </w:p>
  </w:footnote>
  <w:footnote w:type="continuationSeparator" w:id="0">
    <w:p w:rsidR="00F23189" w:rsidRDefault="00F23189" w:rsidP="002D7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FD" w:rsidRPr="007147EE" w:rsidRDefault="00F041FD">
    <w:pPr>
      <w:pStyle w:val="Header"/>
      <w:rPr>
        <w:sz w:val="12"/>
      </w:rPr>
    </w:pPr>
    <w:r w:rsidRPr="007147EE">
      <w:rPr>
        <w:rFonts w:cs="Arial"/>
        <w:i/>
        <w:sz w:val="16"/>
        <w:szCs w:val="24"/>
      </w:rPr>
      <w:t>Number of deaths decreasing, but Aboriginal and Torres Strait Islander children</w:t>
    </w:r>
    <w:r>
      <w:rPr>
        <w:rFonts w:cs="Arial"/>
        <w:i/>
        <w:sz w:val="16"/>
        <w:szCs w:val="24"/>
      </w:rPr>
      <w:br/>
    </w:r>
    <w:r w:rsidRPr="007147EE">
      <w:rPr>
        <w:rFonts w:cs="Arial"/>
        <w:i/>
        <w:sz w:val="16"/>
        <w:szCs w:val="24"/>
      </w:rPr>
      <w:t xml:space="preserve"> still over represented</w:t>
    </w:r>
    <w:r w:rsidRPr="007147EE">
      <w:rPr>
        <w:sz w:val="12"/>
      </w:rPr>
      <w:t xml:space="preserve"> </w:t>
    </w:r>
    <w:r w:rsidRPr="007147EE">
      <w:rPr>
        <w:noProof/>
        <w:sz w:val="12"/>
        <w:lang w:eastAsia="en-AU"/>
      </w:rPr>
      <w:drawing>
        <wp:anchor distT="0" distB="0" distL="114300" distR="114300" simplePos="0" relativeHeight="251663360" behindDoc="1" locked="0" layoutInCell="1" allowOverlap="1">
          <wp:simplePos x="0" y="0"/>
          <wp:positionH relativeFrom="column">
            <wp:posOffset>4824966</wp:posOffset>
          </wp:positionH>
          <wp:positionV relativeFrom="paragraph">
            <wp:posOffset>-211189</wp:posOffset>
          </wp:positionV>
          <wp:extent cx="1478871" cy="733647"/>
          <wp:effectExtent l="19050" t="0" r="7029" b="0"/>
          <wp:wrapNone/>
          <wp:docPr id="1" name="Picture 1" descr="C:\Users\Barbara Harrop\AppData\Local\Microsoft\Windows\Temporary Internet Files\Content.Outlook\D866AIS5\CSD_DR_proof 3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 Harrop\AppData\Local\Microsoft\Windows\Temporary Internet Files\Content.Outlook\D866AIS5\CSD_DR_proof 3hr.jpg"/>
                  <pic:cNvPicPr>
                    <a:picLocks noChangeAspect="1" noChangeArrowheads="1"/>
                  </pic:cNvPicPr>
                </pic:nvPicPr>
                <pic:blipFill>
                  <a:blip r:embed="rId1" cstate="print"/>
                  <a:srcRect r="63340" b="29439"/>
                  <a:stretch>
                    <a:fillRect/>
                  </a:stretch>
                </pic:blipFill>
                <pic:spPr bwMode="auto">
                  <a:xfrm>
                    <a:off x="0" y="0"/>
                    <a:ext cx="1478871" cy="733647"/>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FD" w:rsidRPr="00D84FD8" w:rsidRDefault="00F041FD" w:rsidP="00D84FD8">
    <w:pPr>
      <w:rPr>
        <w:sz w:val="52"/>
        <w:szCs w:val="52"/>
      </w:rPr>
    </w:pPr>
    <w:r w:rsidRPr="002D75ED">
      <w:rPr>
        <w:noProof/>
        <w:lang w:eastAsia="en-AU"/>
      </w:rPr>
      <w:drawing>
        <wp:anchor distT="0" distB="0" distL="114300" distR="114300" simplePos="0" relativeHeight="251661312" behindDoc="0" locked="0" layoutInCell="1" allowOverlap="1">
          <wp:simplePos x="0" y="0"/>
          <wp:positionH relativeFrom="column">
            <wp:posOffset>1962150</wp:posOffset>
          </wp:positionH>
          <wp:positionV relativeFrom="paragraph">
            <wp:posOffset>-123825</wp:posOffset>
          </wp:positionV>
          <wp:extent cx="4029075" cy="1038225"/>
          <wp:effectExtent l="19050" t="0" r="9525" b="0"/>
          <wp:wrapSquare wrapText="bothSides"/>
          <wp:docPr id="3" name="Picture 1" descr="C:\Users\Barbara Harrop\AppData\Local\Microsoft\Windows\Temporary Internet Files\Content.Outlook\D866AIS5\CSD_DR_proof 3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 Harrop\AppData\Local\Microsoft\Windows\Temporary Internet Files\Content.Outlook\D866AIS5\CSD_DR_proof 3hr.jpg"/>
                  <pic:cNvPicPr>
                    <a:picLocks noChangeAspect="1" noChangeArrowheads="1"/>
                  </pic:cNvPicPr>
                </pic:nvPicPr>
                <pic:blipFill>
                  <a:blip r:embed="rId1" cstate="print"/>
                  <a:srcRect/>
                  <a:stretch>
                    <a:fillRect/>
                  </a:stretch>
                </pic:blipFill>
                <pic:spPr bwMode="auto">
                  <a:xfrm>
                    <a:off x="0" y="0"/>
                    <a:ext cx="4029075" cy="1038225"/>
                  </a:xfrm>
                  <a:prstGeom prst="rect">
                    <a:avLst/>
                  </a:prstGeom>
                  <a:noFill/>
                  <a:ln w="9525">
                    <a:noFill/>
                    <a:miter lim="800000"/>
                    <a:headEnd/>
                    <a:tailEnd/>
                  </a:ln>
                </pic:spPr>
              </pic:pic>
            </a:graphicData>
          </a:graphic>
        </wp:anchor>
      </w:drawing>
    </w:r>
    <w:r w:rsidRPr="002D75ED">
      <w:rPr>
        <w:sz w:val="52"/>
        <w:szCs w:val="52"/>
      </w:rPr>
      <w:t xml:space="preserve">Media </w:t>
    </w:r>
    <w:r>
      <w:rPr>
        <w:sz w:val="52"/>
        <w:szCs w:val="52"/>
      </w:rPr>
      <w:br/>
    </w:r>
    <w:r w:rsidRPr="002D75ED">
      <w:rPr>
        <w:sz w:val="52"/>
        <w:szCs w:val="52"/>
      </w:rPr>
      <w:t>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742AC"/>
    <w:multiLevelType w:val="hybridMultilevel"/>
    <w:tmpl w:val="2AC8B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614B4F"/>
    <w:multiLevelType w:val="hybridMultilevel"/>
    <w:tmpl w:val="BA6670AE"/>
    <w:lvl w:ilvl="0" w:tplc="2806CFCC">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1B1CBC"/>
    <w:multiLevelType w:val="hybridMultilevel"/>
    <w:tmpl w:val="12128A6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3038A6"/>
    <w:multiLevelType w:val="hybridMultilevel"/>
    <w:tmpl w:val="3B3010B6"/>
    <w:lvl w:ilvl="0" w:tplc="BC766F38">
      <w:start w:val="402"/>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93594"/>
    <w:multiLevelType w:val="hybridMultilevel"/>
    <w:tmpl w:val="5AAE231A"/>
    <w:lvl w:ilvl="0" w:tplc="E46476FC">
      <w:start w:val="1"/>
      <w:numFmt w:val="bullet"/>
      <w:lvlText w:val=""/>
      <w:lvlJc w:val="left"/>
      <w:pPr>
        <w:ind w:left="720" w:hanging="360"/>
      </w:pPr>
      <w:rPr>
        <w:rFonts w:ascii="Webdings" w:hAnsi="Webdings" w:hint="default"/>
        <w:color w:val="1F497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D51D49"/>
    <w:multiLevelType w:val="hybridMultilevel"/>
    <w:tmpl w:val="B8E24B54"/>
    <w:lvl w:ilvl="0" w:tplc="7DF0D40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EE2372"/>
    <w:multiLevelType w:val="hybridMultilevel"/>
    <w:tmpl w:val="26A02C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778C0F5D"/>
    <w:multiLevelType w:val="hybridMultilevel"/>
    <w:tmpl w:val="49328918"/>
    <w:lvl w:ilvl="0" w:tplc="18BC561E">
      <w:start w:val="402"/>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0566A"/>
    <w:rsid w:val="000121E4"/>
    <w:rsid w:val="00015D37"/>
    <w:rsid w:val="00016F12"/>
    <w:rsid w:val="00041CB8"/>
    <w:rsid w:val="000D1166"/>
    <w:rsid w:val="00120DBA"/>
    <w:rsid w:val="00127748"/>
    <w:rsid w:val="00134088"/>
    <w:rsid w:val="001665A8"/>
    <w:rsid w:val="001809F4"/>
    <w:rsid w:val="00197E71"/>
    <w:rsid w:val="001A6082"/>
    <w:rsid w:val="001C766D"/>
    <w:rsid w:val="001D1566"/>
    <w:rsid w:val="001D56E2"/>
    <w:rsid w:val="001F2D25"/>
    <w:rsid w:val="0022251A"/>
    <w:rsid w:val="002514F6"/>
    <w:rsid w:val="002648B0"/>
    <w:rsid w:val="002706ED"/>
    <w:rsid w:val="00295D2D"/>
    <w:rsid w:val="002A4842"/>
    <w:rsid w:val="002D75ED"/>
    <w:rsid w:val="002F4B69"/>
    <w:rsid w:val="00357B5A"/>
    <w:rsid w:val="003B1280"/>
    <w:rsid w:val="003B3AEC"/>
    <w:rsid w:val="003B4DB2"/>
    <w:rsid w:val="003C7F26"/>
    <w:rsid w:val="003D3A6E"/>
    <w:rsid w:val="003D6CFE"/>
    <w:rsid w:val="00411718"/>
    <w:rsid w:val="004231AB"/>
    <w:rsid w:val="004440AC"/>
    <w:rsid w:val="004476EB"/>
    <w:rsid w:val="00454C7D"/>
    <w:rsid w:val="004D60CB"/>
    <w:rsid w:val="004D6100"/>
    <w:rsid w:val="004D6ECB"/>
    <w:rsid w:val="00514001"/>
    <w:rsid w:val="005451A6"/>
    <w:rsid w:val="005516B5"/>
    <w:rsid w:val="005562C0"/>
    <w:rsid w:val="00565058"/>
    <w:rsid w:val="0057337A"/>
    <w:rsid w:val="005D1581"/>
    <w:rsid w:val="005D1F5A"/>
    <w:rsid w:val="005D1FCF"/>
    <w:rsid w:val="00612E90"/>
    <w:rsid w:val="0062097F"/>
    <w:rsid w:val="00634486"/>
    <w:rsid w:val="006509D0"/>
    <w:rsid w:val="00675518"/>
    <w:rsid w:val="006E6745"/>
    <w:rsid w:val="0071253E"/>
    <w:rsid w:val="007147EE"/>
    <w:rsid w:val="00764975"/>
    <w:rsid w:val="007856C0"/>
    <w:rsid w:val="007A25F9"/>
    <w:rsid w:val="007A76F0"/>
    <w:rsid w:val="007F5468"/>
    <w:rsid w:val="008050C2"/>
    <w:rsid w:val="0080566A"/>
    <w:rsid w:val="00831EA3"/>
    <w:rsid w:val="00895ABC"/>
    <w:rsid w:val="008C1A2B"/>
    <w:rsid w:val="008D3BB5"/>
    <w:rsid w:val="008E224A"/>
    <w:rsid w:val="00960255"/>
    <w:rsid w:val="00983E9E"/>
    <w:rsid w:val="009B6D57"/>
    <w:rsid w:val="009C615F"/>
    <w:rsid w:val="009D57A9"/>
    <w:rsid w:val="009E1B3C"/>
    <w:rsid w:val="00A07E2A"/>
    <w:rsid w:val="00A208A9"/>
    <w:rsid w:val="00A2663C"/>
    <w:rsid w:val="00A437E3"/>
    <w:rsid w:val="00A762A0"/>
    <w:rsid w:val="00A9635B"/>
    <w:rsid w:val="00AA0CA8"/>
    <w:rsid w:val="00AB25B3"/>
    <w:rsid w:val="00AE7954"/>
    <w:rsid w:val="00B34183"/>
    <w:rsid w:val="00B56BFE"/>
    <w:rsid w:val="00B608A6"/>
    <w:rsid w:val="00B875AC"/>
    <w:rsid w:val="00B94069"/>
    <w:rsid w:val="00BB23AE"/>
    <w:rsid w:val="00BB7CE6"/>
    <w:rsid w:val="00BE07D1"/>
    <w:rsid w:val="00C036D7"/>
    <w:rsid w:val="00C151DE"/>
    <w:rsid w:val="00C1768A"/>
    <w:rsid w:val="00C31761"/>
    <w:rsid w:val="00C33571"/>
    <w:rsid w:val="00CB14D5"/>
    <w:rsid w:val="00CB7C63"/>
    <w:rsid w:val="00D26232"/>
    <w:rsid w:val="00D37310"/>
    <w:rsid w:val="00D408A6"/>
    <w:rsid w:val="00D57CD5"/>
    <w:rsid w:val="00D73D9D"/>
    <w:rsid w:val="00D84F6C"/>
    <w:rsid w:val="00D84FD8"/>
    <w:rsid w:val="00D8722B"/>
    <w:rsid w:val="00D93D49"/>
    <w:rsid w:val="00DC57D1"/>
    <w:rsid w:val="00DF46AF"/>
    <w:rsid w:val="00E01785"/>
    <w:rsid w:val="00E05E1B"/>
    <w:rsid w:val="00E06CD8"/>
    <w:rsid w:val="00E42AB5"/>
    <w:rsid w:val="00E6489A"/>
    <w:rsid w:val="00E97310"/>
    <w:rsid w:val="00E978DA"/>
    <w:rsid w:val="00EB4067"/>
    <w:rsid w:val="00EC7F07"/>
    <w:rsid w:val="00ED19CE"/>
    <w:rsid w:val="00ED4F46"/>
    <w:rsid w:val="00ED6681"/>
    <w:rsid w:val="00EE18F4"/>
    <w:rsid w:val="00EE77A6"/>
    <w:rsid w:val="00F041FD"/>
    <w:rsid w:val="00F050E2"/>
    <w:rsid w:val="00F05BAD"/>
    <w:rsid w:val="00F06CCE"/>
    <w:rsid w:val="00F14BC8"/>
    <w:rsid w:val="00F23189"/>
    <w:rsid w:val="00F25643"/>
    <w:rsid w:val="00F45BEB"/>
    <w:rsid w:val="00F50823"/>
    <w:rsid w:val="00FF49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4E9E2657-3F6C-4323-A718-34F9927D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A6E"/>
    <w:pPr>
      <w:spacing w:after="200" w:line="276" w:lineRule="auto"/>
    </w:pPr>
    <w:rPr>
      <w:rFonts w:ascii="Century Gothic" w:hAnsi="Century Gothic"/>
      <w:szCs w:val="22"/>
      <w:lang w:eastAsia="en-US"/>
    </w:rPr>
  </w:style>
  <w:style w:type="paragraph" w:styleId="Heading1">
    <w:name w:val="heading 1"/>
    <w:basedOn w:val="Normal"/>
    <w:next w:val="Normal"/>
    <w:link w:val="Heading1Char"/>
    <w:uiPriority w:val="9"/>
    <w:qFormat/>
    <w:rsid w:val="003D3A6E"/>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3D3A6E"/>
    <w:pPr>
      <w:keepNext/>
      <w:keepLines/>
      <w:spacing w:before="40" w:after="0"/>
      <w:outlineLvl w:val="1"/>
    </w:pPr>
    <w:rPr>
      <w:rFonts w:eastAsiaTheme="majorEastAsia" w:cstheme="majorBidi"/>
      <w:b/>
      <w:sz w:val="24"/>
      <w:szCs w:val="26"/>
    </w:rPr>
  </w:style>
  <w:style w:type="paragraph" w:styleId="Heading5">
    <w:name w:val="heading 5"/>
    <w:basedOn w:val="Normal"/>
    <w:next w:val="Normal"/>
    <w:link w:val="Heading5Char"/>
    <w:unhideWhenUsed/>
    <w:qFormat/>
    <w:rsid w:val="003B3AEC"/>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AE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B3AEC"/>
    <w:rPr>
      <w:rFonts w:ascii="Tahoma" w:hAnsi="Tahoma" w:cs="Tahoma"/>
      <w:sz w:val="16"/>
      <w:szCs w:val="16"/>
    </w:rPr>
  </w:style>
  <w:style w:type="character" w:customStyle="1" w:styleId="Heading5Char">
    <w:name w:val="Heading 5 Char"/>
    <w:link w:val="Heading5"/>
    <w:rsid w:val="003B3AEC"/>
    <w:rPr>
      <w:rFonts w:ascii="Calibri" w:eastAsia="Times New Roman" w:hAnsi="Calibri" w:cs="Times New Roman"/>
      <w:b/>
      <w:bCs/>
      <w:i/>
      <w:iCs/>
      <w:sz w:val="26"/>
      <w:szCs w:val="26"/>
    </w:rPr>
  </w:style>
  <w:style w:type="character" w:styleId="Hyperlink">
    <w:name w:val="Hyperlink"/>
    <w:unhideWhenUsed/>
    <w:rsid w:val="003B3AEC"/>
    <w:rPr>
      <w:color w:val="0000FF"/>
      <w:u w:val="single"/>
    </w:rPr>
  </w:style>
  <w:style w:type="paragraph" w:styleId="Footer">
    <w:name w:val="footer"/>
    <w:basedOn w:val="Normal"/>
    <w:link w:val="FooterChar"/>
    <w:unhideWhenUsed/>
    <w:rsid w:val="003B3AEC"/>
    <w:pPr>
      <w:tabs>
        <w:tab w:val="center" w:pos="4153"/>
        <w:tab w:val="right" w:pos="8306"/>
      </w:tabs>
      <w:spacing w:after="0" w:line="240" w:lineRule="auto"/>
    </w:pPr>
    <w:rPr>
      <w:rFonts w:ascii="Times New Roman" w:eastAsia="Times New Roman" w:hAnsi="Times New Roman"/>
      <w:sz w:val="24"/>
      <w:szCs w:val="20"/>
    </w:rPr>
  </w:style>
  <w:style w:type="character" w:customStyle="1" w:styleId="FooterChar">
    <w:name w:val="Footer Char"/>
    <w:link w:val="Footer"/>
    <w:rsid w:val="003B3AEC"/>
    <w:rPr>
      <w:rFonts w:ascii="Times New Roman" w:eastAsia="Times New Roman" w:hAnsi="Times New Roman" w:cs="Times New Roman"/>
      <w:sz w:val="24"/>
      <w:szCs w:val="20"/>
    </w:rPr>
  </w:style>
  <w:style w:type="paragraph" w:styleId="ListParagraph">
    <w:name w:val="List Paragraph"/>
    <w:basedOn w:val="Normal"/>
    <w:uiPriority w:val="34"/>
    <w:qFormat/>
    <w:rsid w:val="003B3AEC"/>
    <w:pPr>
      <w:spacing w:line="240" w:lineRule="auto"/>
      <w:ind w:left="720"/>
      <w:contextualSpacing/>
    </w:pPr>
    <w:rPr>
      <w:sz w:val="24"/>
      <w:szCs w:val="24"/>
    </w:rPr>
  </w:style>
  <w:style w:type="character" w:styleId="CommentReference">
    <w:name w:val="annotation reference"/>
    <w:uiPriority w:val="99"/>
    <w:semiHidden/>
    <w:unhideWhenUsed/>
    <w:rsid w:val="00675518"/>
    <w:rPr>
      <w:sz w:val="16"/>
      <w:szCs w:val="16"/>
    </w:rPr>
  </w:style>
  <w:style w:type="paragraph" w:styleId="CommentText">
    <w:name w:val="annotation text"/>
    <w:basedOn w:val="Normal"/>
    <w:link w:val="CommentTextChar"/>
    <w:uiPriority w:val="99"/>
    <w:semiHidden/>
    <w:unhideWhenUsed/>
    <w:rsid w:val="00675518"/>
    <w:rPr>
      <w:szCs w:val="20"/>
    </w:rPr>
  </w:style>
  <w:style w:type="character" w:customStyle="1" w:styleId="CommentTextChar">
    <w:name w:val="Comment Text Char"/>
    <w:link w:val="CommentText"/>
    <w:uiPriority w:val="99"/>
    <w:semiHidden/>
    <w:rsid w:val="00675518"/>
    <w:rPr>
      <w:lang w:eastAsia="en-US"/>
    </w:rPr>
  </w:style>
  <w:style w:type="paragraph" w:styleId="CommentSubject">
    <w:name w:val="annotation subject"/>
    <w:basedOn w:val="CommentText"/>
    <w:next w:val="CommentText"/>
    <w:link w:val="CommentSubjectChar"/>
    <w:uiPriority w:val="99"/>
    <w:semiHidden/>
    <w:unhideWhenUsed/>
    <w:rsid w:val="00675518"/>
    <w:rPr>
      <w:b/>
      <w:bCs/>
    </w:rPr>
  </w:style>
  <w:style w:type="character" w:customStyle="1" w:styleId="CommentSubjectChar">
    <w:name w:val="Comment Subject Char"/>
    <w:link w:val="CommentSubject"/>
    <w:uiPriority w:val="99"/>
    <w:semiHidden/>
    <w:rsid w:val="00675518"/>
    <w:rPr>
      <w:b/>
      <w:bCs/>
      <w:lang w:eastAsia="en-US"/>
    </w:rPr>
  </w:style>
  <w:style w:type="paragraph" w:styleId="Header">
    <w:name w:val="header"/>
    <w:basedOn w:val="Normal"/>
    <w:link w:val="HeaderChar"/>
    <w:uiPriority w:val="99"/>
    <w:semiHidden/>
    <w:unhideWhenUsed/>
    <w:rsid w:val="002D75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75ED"/>
    <w:rPr>
      <w:sz w:val="22"/>
      <w:szCs w:val="22"/>
      <w:lang w:eastAsia="en-US"/>
    </w:rPr>
  </w:style>
  <w:style w:type="table" w:styleId="TableGrid">
    <w:name w:val="Table Grid"/>
    <w:basedOn w:val="TableNormal"/>
    <w:uiPriority w:val="59"/>
    <w:rsid w:val="00F0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3A6E"/>
    <w:rPr>
      <w:rFonts w:ascii="Century Gothic" w:eastAsiaTheme="majorEastAsia" w:hAnsi="Century Gothic" w:cstheme="majorBidi"/>
      <w:b/>
      <w:sz w:val="36"/>
      <w:szCs w:val="32"/>
      <w:lang w:eastAsia="en-US"/>
    </w:rPr>
  </w:style>
  <w:style w:type="character" w:customStyle="1" w:styleId="Heading2Char">
    <w:name w:val="Heading 2 Char"/>
    <w:basedOn w:val="DefaultParagraphFont"/>
    <w:link w:val="Heading2"/>
    <w:uiPriority w:val="9"/>
    <w:rsid w:val="003D3A6E"/>
    <w:rPr>
      <w:rFonts w:ascii="Century Gothic" w:eastAsiaTheme="majorEastAsia" w:hAnsi="Century Gothic"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2691">
      <w:bodyDiv w:val="1"/>
      <w:marLeft w:val="0"/>
      <w:marRight w:val="0"/>
      <w:marTop w:val="0"/>
      <w:marBottom w:val="0"/>
      <w:divBdr>
        <w:top w:val="none" w:sz="0" w:space="0" w:color="auto"/>
        <w:left w:val="none" w:sz="0" w:space="0" w:color="auto"/>
        <w:bottom w:val="none" w:sz="0" w:space="0" w:color="auto"/>
        <w:right w:val="none" w:sz="0" w:space="0" w:color="auto"/>
      </w:divBdr>
    </w:div>
    <w:div w:id="158078963">
      <w:bodyDiv w:val="1"/>
      <w:marLeft w:val="0"/>
      <w:marRight w:val="0"/>
      <w:marTop w:val="0"/>
      <w:marBottom w:val="0"/>
      <w:divBdr>
        <w:top w:val="none" w:sz="0" w:space="0" w:color="auto"/>
        <w:left w:val="none" w:sz="0" w:space="0" w:color="auto"/>
        <w:bottom w:val="none" w:sz="0" w:space="0" w:color="auto"/>
        <w:right w:val="none" w:sz="0" w:space="0" w:color="auto"/>
      </w:divBdr>
    </w:div>
    <w:div w:id="425343450">
      <w:bodyDiv w:val="1"/>
      <w:marLeft w:val="0"/>
      <w:marRight w:val="0"/>
      <w:marTop w:val="0"/>
      <w:marBottom w:val="0"/>
      <w:divBdr>
        <w:top w:val="none" w:sz="0" w:space="0" w:color="auto"/>
        <w:left w:val="none" w:sz="0" w:space="0" w:color="auto"/>
        <w:bottom w:val="none" w:sz="0" w:space="0" w:color="auto"/>
        <w:right w:val="none" w:sz="0" w:space="0" w:color="auto"/>
      </w:divBdr>
    </w:div>
    <w:div w:id="1930574811">
      <w:bodyDiv w:val="1"/>
      <w:marLeft w:val="0"/>
      <w:marRight w:val="0"/>
      <w:marTop w:val="0"/>
      <w:marBottom w:val="0"/>
      <w:divBdr>
        <w:top w:val="none" w:sz="0" w:space="0" w:color="auto"/>
        <w:left w:val="none" w:sz="0" w:space="0" w:color="auto"/>
        <w:bottom w:val="none" w:sz="0" w:space="0" w:color="auto"/>
        <w:right w:val="none" w:sz="0" w:space="0" w:color="auto"/>
      </w:divBdr>
    </w:div>
    <w:div w:id="19313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lddeathcommittee.act.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5481D73D</Template>
  <TotalTime>5</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ACT Children &amp; Young People Child Death review</vt:lpstr>
    </vt:vector>
  </TitlesOfParts>
  <Company>ACT Government</Company>
  <LinksUpToDate>false</LinksUpToDate>
  <CharactersWithSpaces>7795</CharactersWithSpaces>
  <SharedDoc>false</SharedDoc>
  <HLinks>
    <vt:vector size="18" baseType="variant">
      <vt:variant>
        <vt:i4>6815869</vt:i4>
      </vt:variant>
      <vt:variant>
        <vt:i4>6</vt:i4>
      </vt:variant>
      <vt:variant>
        <vt:i4>0</vt:i4>
      </vt:variant>
      <vt:variant>
        <vt:i4>5</vt:i4>
      </vt:variant>
      <vt:variant>
        <vt:lpwstr>http://www.childdeathcommittee.act.gov.au/</vt:lpwstr>
      </vt:variant>
      <vt:variant>
        <vt:lpwstr/>
      </vt:variant>
      <vt:variant>
        <vt:i4>1310804</vt:i4>
      </vt:variant>
      <vt:variant>
        <vt:i4>3</vt:i4>
      </vt:variant>
      <vt:variant>
        <vt:i4>0</vt:i4>
      </vt:variant>
      <vt:variant>
        <vt:i4>5</vt:i4>
      </vt:variant>
      <vt:variant>
        <vt:lpwstr>http://www.sidsandkids.org/safe-sleeping/</vt:lpwstr>
      </vt:variant>
      <vt:variant>
        <vt:lpwstr/>
      </vt:variant>
      <vt:variant>
        <vt:i4>5439507</vt:i4>
      </vt:variant>
      <vt:variant>
        <vt:i4>0</vt:i4>
      </vt:variant>
      <vt:variant>
        <vt:i4>0</vt:i4>
      </vt:variant>
      <vt:variant>
        <vt:i4>5</vt:i4>
      </vt:variant>
      <vt:variant>
        <vt:lpwstr>http://www.hqsc.govt.nz/assets/CYMRC/Publications/CMYRC-special-report-March-2013.pdf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Children &amp; Young People Child Death review</dc:title>
  <dc:subject>Number of deaths decreasing, but Aboriginal and Torres Strait Islander children still over represented</dc:subject>
  <dc:creator>ACT Government</dc:creator>
  <cp:keywords>Number of deaths decreasing, but Aboriginal and Torres Strait Islander children still over represented</cp:keywords>
  <cp:lastModifiedBy>Abramovic, Michelle</cp:lastModifiedBy>
  <cp:revision>4</cp:revision>
  <cp:lastPrinted>2015-11-10T22:59:00Z</cp:lastPrinted>
  <dcterms:created xsi:type="dcterms:W3CDTF">2015-11-16T00:40:00Z</dcterms:created>
  <dcterms:modified xsi:type="dcterms:W3CDTF">2015-11-16T22:07:00Z</dcterms:modified>
</cp:coreProperties>
</file>