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7A6" w:rsidRPr="00D84FD8" w:rsidRDefault="00CD674C" w:rsidP="00D84FD8">
      <w:pPr>
        <w:pStyle w:val="Heading5"/>
        <w:spacing w:after="240"/>
        <w:jc w:val="right"/>
        <w:rPr>
          <w:rFonts w:eastAsia="Calibri" w:cs="Arial"/>
          <w:b w:val="0"/>
          <w:bCs w:val="0"/>
          <w:i w:val="0"/>
          <w:iCs w:val="0"/>
          <w:sz w:val="20"/>
          <w:szCs w:val="20"/>
        </w:rPr>
      </w:pPr>
      <w:r>
        <w:rPr>
          <w:rFonts w:eastAsia="Calibri" w:cs="Arial"/>
          <w:b w:val="0"/>
          <w:bCs w:val="0"/>
          <w:i w:val="0"/>
          <w:iCs w:val="0"/>
          <w:sz w:val="20"/>
          <w:szCs w:val="20"/>
        </w:rPr>
        <w:t>Thursday, 23 March 2017</w:t>
      </w:r>
    </w:p>
    <w:p w:rsidR="00FF494E" w:rsidRPr="002D75ED" w:rsidRDefault="00CD674C" w:rsidP="001731DF">
      <w:pPr>
        <w:pStyle w:val="Heading1"/>
        <w:rPr>
          <w:i/>
        </w:rPr>
      </w:pPr>
      <w:r>
        <w:t xml:space="preserve">Preventing </w:t>
      </w:r>
      <w:r w:rsidR="001A5BB1">
        <w:t>c</w:t>
      </w:r>
      <w:r>
        <w:t xml:space="preserve">hild deaths: looking back </w:t>
      </w:r>
      <w:r w:rsidR="00C71C59">
        <w:t>tells us what we can do better</w:t>
      </w:r>
    </w:p>
    <w:p w:rsidR="00C71C59" w:rsidRPr="001731DF" w:rsidRDefault="001A5BB1" w:rsidP="001731DF">
      <w:pPr>
        <w:rPr>
          <w:b/>
          <w:i/>
        </w:rPr>
      </w:pPr>
      <w:r w:rsidRPr="001731DF">
        <w:rPr>
          <w:b/>
        </w:rPr>
        <w:t>An</w:t>
      </w:r>
      <w:r w:rsidR="00FC5C78" w:rsidRPr="001731DF">
        <w:rPr>
          <w:b/>
        </w:rPr>
        <w:t xml:space="preserve"> ACT Children and Young People Death Review </w:t>
      </w:r>
      <w:r w:rsidR="00573658" w:rsidRPr="001731DF">
        <w:rPr>
          <w:b/>
        </w:rPr>
        <w:t xml:space="preserve">Committee </w:t>
      </w:r>
      <w:r w:rsidR="00542232" w:rsidRPr="001731DF">
        <w:rPr>
          <w:b/>
        </w:rPr>
        <w:t xml:space="preserve">report </w:t>
      </w:r>
      <w:r w:rsidR="00C71C59" w:rsidRPr="001731DF">
        <w:rPr>
          <w:b/>
        </w:rPr>
        <w:t xml:space="preserve">has confirmed the importance of both </w:t>
      </w:r>
    </w:p>
    <w:p w:rsidR="00496763" w:rsidRPr="001731DF" w:rsidRDefault="00C71C59" w:rsidP="001731DF">
      <w:pPr>
        <w:pStyle w:val="ListParagraph"/>
        <w:numPr>
          <w:ilvl w:val="0"/>
          <w:numId w:val="6"/>
        </w:numPr>
        <w:spacing w:after="240"/>
        <w:rPr>
          <w:b/>
          <w:i/>
          <w:sz w:val="20"/>
          <w:szCs w:val="20"/>
        </w:rPr>
      </w:pPr>
      <w:r w:rsidRPr="001731DF">
        <w:rPr>
          <w:b/>
          <w:sz w:val="20"/>
          <w:szCs w:val="20"/>
        </w:rPr>
        <w:t xml:space="preserve">improving the system and </w:t>
      </w:r>
      <w:r w:rsidR="002879BF" w:rsidRPr="001731DF">
        <w:rPr>
          <w:b/>
          <w:sz w:val="20"/>
          <w:szCs w:val="20"/>
        </w:rPr>
        <w:t>culture for positively sharing information,</w:t>
      </w:r>
      <w:r w:rsidRPr="001731DF">
        <w:rPr>
          <w:b/>
          <w:sz w:val="20"/>
          <w:szCs w:val="20"/>
        </w:rPr>
        <w:t xml:space="preserve"> within Government</w:t>
      </w:r>
      <w:r w:rsidR="002879BF" w:rsidRPr="001731DF">
        <w:rPr>
          <w:b/>
          <w:sz w:val="20"/>
          <w:szCs w:val="20"/>
        </w:rPr>
        <w:t xml:space="preserve">; </w:t>
      </w:r>
      <w:r w:rsidRPr="001731DF">
        <w:rPr>
          <w:b/>
          <w:sz w:val="20"/>
          <w:szCs w:val="20"/>
        </w:rPr>
        <w:t>between government and communi</w:t>
      </w:r>
      <w:r w:rsidR="002879BF" w:rsidRPr="001731DF">
        <w:rPr>
          <w:b/>
          <w:sz w:val="20"/>
          <w:szCs w:val="20"/>
        </w:rPr>
        <w:t>ty sector support organisations; and within the community;</w:t>
      </w:r>
      <w:r w:rsidR="001731DF">
        <w:rPr>
          <w:b/>
          <w:sz w:val="20"/>
          <w:szCs w:val="20"/>
        </w:rPr>
        <w:t xml:space="preserve"> and</w:t>
      </w:r>
    </w:p>
    <w:p w:rsidR="00496763" w:rsidRPr="001731DF" w:rsidRDefault="00C71C59" w:rsidP="001731DF">
      <w:pPr>
        <w:pStyle w:val="ListParagraph"/>
        <w:numPr>
          <w:ilvl w:val="0"/>
          <w:numId w:val="6"/>
        </w:numPr>
        <w:rPr>
          <w:b/>
          <w:i/>
          <w:sz w:val="20"/>
          <w:szCs w:val="20"/>
        </w:rPr>
      </w:pPr>
      <w:proofErr w:type="gramStart"/>
      <w:r w:rsidRPr="001731DF">
        <w:rPr>
          <w:b/>
          <w:sz w:val="20"/>
          <w:szCs w:val="20"/>
        </w:rPr>
        <w:t>understanding</w:t>
      </w:r>
      <w:proofErr w:type="gramEnd"/>
      <w:r w:rsidRPr="001731DF">
        <w:rPr>
          <w:b/>
          <w:sz w:val="20"/>
          <w:szCs w:val="20"/>
        </w:rPr>
        <w:t xml:space="preserve"> and supporting stressed families early. </w:t>
      </w:r>
    </w:p>
    <w:p w:rsidR="00C71C59" w:rsidRPr="001731DF" w:rsidRDefault="00F54EC8" w:rsidP="001731DF">
      <w:pPr>
        <w:rPr>
          <w:b/>
          <w:i/>
        </w:rPr>
      </w:pPr>
      <w:r w:rsidRPr="001731DF">
        <w:rPr>
          <w:b/>
        </w:rPr>
        <w:t>Improvements in these areas</w:t>
      </w:r>
      <w:r w:rsidR="00C71C59" w:rsidRPr="001731DF">
        <w:rPr>
          <w:b/>
        </w:rPr>
        <w:t xml:space="preserve"> will save young lives.</w:t>
      </w:r>
    </w:p>
    <w:p w:rsidR="007211E2" w:rsidRPr="00C71C59" w:rsidRDefault="00055A7E" w:rsidP="001731DF">
      <w:pPr>
        <w:rPr>
          <w:b/>
          <w:i/>
        </w:rPr>
      </w:pPr>
      <w:r w:rsidRPr="00055A7E">
        <w:t>The Committee ha</w:t>
      </w:r>
      <w:r w:rsidR="00F54EC8">
        <w:t>s</w:t>
      </w:r>
      <w:r w:rsidRPr="00055A7E">
        <w:t xml:space="preserve"> released a report, Retrospective: Progress in the ACT between 2004 and 2013. The key finding from the review is the </w:t>
      </w:r>
      <w:r w:rsidR="00353458">
        <w:t xml:space="preserve">critical </w:t>
      </w:r>
      <w:r w:rsidRPr="00055A7E">
        <w:t>need for Government and related support services to improve the systems and culture for sharing information in the interests of protecting the most vulnerable children.</w:t>
      </w:r>
    </w:p>
    <w:p w:rsidR="00FC5C78" w:rsidRDefault="00FC5C78" w:rsidP="001731DF">
      <w:pPr>
        <w:rPr>
          <w:b/>
          <w:i/>
        </w:rPr>
      </w:pPr>
      <w:r>
        <w:t>Chair of the Committee</w:t>
      </w:r>
      <w:r w:rsidR="009669EA">
        <w:t>,</w:t>
      </w:r>
      <w:r>
        <w:t xml:space="preserve"> </w:t>
      </w:r>
      <w:r w:rsidR="00844585">
        <w:t>Ms Margaret Carmody</w:t>
      </w:r>
      <w:r w:rsidR="009669EA">
        <w:t>,</w:t>
      </w:r>
      <w:r w:rsidR="006D7131">
        <w:t xml:space="preserve"> said </w:t>
      </w:r>
      <w:r>
        <w:t>“</w:t>
      </w:r>
      <w:r w:rsidRPr="00FC5C78">
        <w:t xml:space="preserve">The review </w:t>
      </w:r>
      <w:r w:rsidR="00C71C59">
        <w:t xml:space="preserve">is important. It helps us understand </w:t>
      </w:r>
      <w:r w:rsidR="00844585">
        <w:t xml:space="preserve">how and why children and young people in the ACT </w:t>
      </w:r>
      <w:r w:rsidR="00C71C59">
        <w:t xml:space="preserve">have </w:t>
      </w:r>
      <w:r w:rsidR="00844585">
        <w:t>die</w:t>
      </w:r>
      <w:r w:rsidR="00C71C59">
        <w:t>d and what we in the community can do to prevent similar deaths in the future</w:t>
      </w:r>
      <w:r w:rsidR="00353458">
        <w:t>.</w:t>
      </w:r>
    </w:p>
    <w:p w:rsidR="00935AD2" w:rsidRDefault="009669EA" w:rsidP="001731DF">
      <w:pPr>
        <w:rPr>
          <w:b/>
          <w:i/>
        </w:rPr>
      </w:pPr>
      <w:r>
        <w:t>“</w:t>
      </w:r>
      <w:r w:rsidR="00844585">
        <w:t xml:space="preserve">By looking </w:t>
      </w:r>
      <w:r w:rsidR="00A16AB8">
        <w:t>at</w:t>
      </w:r>
      <w:r w:rsidR="00844585">
        <w:t xml:space="preserve"> the deaths of children and young people </w:t>
      </w:r>
      <w:r w:rsidR="00A16AB8">
        <w:t xml:space="preserve">and </w:t>
      </w:r>
      <w:r w:rsidR="00C71C59">
        <w:t xml:space="preserve">understanding </w:t>
      </w:r>
      <w:r w:rsidR="00E62BC7">
        <w:t>the</w:t>
      </w:r>
      <w:bookmarkStart w:id="0" w:name="_GoBack"/>
      <w:bookmarkEnd w:id="0"/>
      <w:r w:rsidR="00E62BC7">
        <w:t xml:space="preserve"> context</w:t>
      </w:r>
      <w:r w:rsidR="00C71C59">
        <w:t>, the world in which they lived</w:t>
      </w:r>
      <w:r w:rsidR="00E62BC7">
        <w:t xml:space="preserve"> - </w:t>
      </w:r>
      <w:r w:rsidR="00AD7190">
        <w:t>how they live</w:t>
      </w:r>
      <w:r w:rsidR="002F625F">
        <w:t>d</w:t>
      </w:r>
      <w:r w:rsidR="00AD7190">
        <w:t>, their health, safety, the way they</w:t>
      </w:r>
      <w:r w:rsidR="00844585">
        <w:t xml:space="preserve"> int</w:t>
      </w:r>
      <w:r w:rsidR="00E62BC7">
        <w:t>eract</w:t>
      </w:r>
      <w:r w:rsidR="002F625F">
        <w:t>ed</w:t>
      </w:r>
      <w:r w:rsidR="00E62BC7">
        <w:t xml:space="preserve"> with our physical spaces - </w:t>
      </w:r>
      <w:r w:rsidR="00844585">
        <w:t xml:space="preserve">we can </w:t>
      </w:r>
      <w:r w:rsidR="00230B7A">
        <w:t>identify opportunities to reduce the risk of deaths in the future.</w:t>
      </w:r>
    </w:p>
    <w:p w:rsidR="00935AD2" w:rsidRDefault="00935AD2" w:rsidP="001731DF">
      <w:pPr>
        <w:rPr>
          <w:b/>
          <w:i/>
        </w:rPr>
      </w:pPr>
      <w:r>
        <w:t>“</w:t>
      </w:r>
      <w:r w:rsidR="00844585">
        <w:t>We know that children and young people are dying less frequently from avoidable causes of death</w:t>
      </w:r>
      <w:r w:rsidR="00230B7A">
        <w:t xml:space="preserve">.  However </w:t>
      </w:r>
      <w:r w:rsidR="006C089E">
        <w:t xml:space="preserve">one third of deaths over the ten years were potentially </w:t>
      </w:r>
      <w:r w:rsidR="00230B7A">
        <w:t>avoidable</w:t>
      </w:r>
      <w:r w:rsidR="00D935F5">
        <w:t>.</w:t>
      </w:r>
    </w:p>
    <w:p w:rsidR="009669EA" w:rsidRDefault="00D935F5" w:rsidP="001731DF">
      <w:pPr>
        <w:rPr>
          <w:b/>
          <w:i/>
        </w:rPr>
      </w:pPr>
      <w:r>
        <w:t>“</w:t>
      </w:r>
      <w:r w:rsidR="00E62BC7">
        <w:t>The Committee</w:t>
      </w:r>
      <w:r w:rsidR="00247F86">
        <w:t xml:space="preserve"> raises concern</w:t>
      </w:r>
      <w:r>
        <w:t>s</w:t>
      </w:r>
      <w:r w:rsidR="00844585">
        <w:t xml:space="preserve"> that </w:t>
      </w:r>
      <w:r w:rsidR="008616F2">
        <w:t xml:space="preserve">the relative risk of death for </w:t>
      </w:r>
      <w:r w:rsidR="00844585">
        <w:t xml:space="preserve">Aboriginal and Torres Strait Islander young people </w:t>
      </w:r>
      <w:r w:rsidR="008616F2">
        <w:t>is close to three times that of non-indigenous young people.</w:t>
      </w:r>
      <w:r w:rsidR="001A75CC">
        <w:t xml:space="preserve"> </w:t>
      </w:r>
      <w:r w:rsidR="008616F2">
        <w:t>M</w:t>
      </w:r>
      <w:r w:rsidR="00247F86">
        <w:t xml:space="preserve">ore effective strategies are needed to </w:t>
      </w:r>
      <w:r w:rsidR="00AA6915">
        <w:t>better support thes</w:t>
      </w:r>
      <w:r w:rsidR="00844585">
        <w:t xml:space="preserve">e </w:t>
      </w:r>
      <w:r w:rsidR="00C71C59">
        <w:t xml:space="preserve">most vulnerable </w:t>
      </w:r>
      <w:r w:rsidR="00844585">
        <w:t>children.</w:t>
      </w:r>
      <w:r w:rsidR="00FC5C78" w:rsidRPr="009669EA">
        <w:t xml:space="preserve"> </w:t>
      </w:r>
    </w:p>
    <w:p w:rsidR="00C71C59" w:rsidRPr="00C71C59" w:rsidRDefault="00C71C59" w:rsidP="001731DF">
      <w:r w:rsidRPr="00D10F8F">
        <w:t>The r</w:t>
      </w:r>
      <w:r>
        <w:t>eport reviews the deaths of children and young people under the age of 18 years who have died in the ACT over a ten-year period to end 201</w:t>
      </w:r>
      <w:r w:rsidR="00353458">
        <w:t>3</w:t>
      </w:r>
      <w:r w:rsidR="002F625F">
        <w:t xml:space="preserve">, </w:t>
      </w:r>
      <w:r w:rsidR="001E0670">
        <w:t>provides analysis of trends over the period and context to these trends.</w:t>
      </w:r>
      <w:r w:rsidR="00D71891">
        <w:t xml:space="preserve"> </w:t>
      </w:r>
      <w:r>
        <w:t xml:space="preserve">The report uses a social determinants of health framework, </w:t>
      </w:r>
      <w:r w:rsidR="006A3C14">
        <w:t>championed</w:t>
      </w:r>
      <w:r>
        <w:t xml:space="preserve"> by </w:t>
      </w:r>
      <w:r w:rsidRPr="00844585">
        <w:t>Sir Michael Marmot, of the Social Determinants of Health Commission within the World Health Organisation</w:t>
      </w:r>
      <w:r w:rsidR="00353458">
        <w:t>.</w:t>
      </w:r>
    </w:p>
    <w:p w:rsidR="000C684E" w:rsidRPr="000D5E67" w:rsidRDefault="00844585" w:rsidP="001731DF">
      <w:pPr>
        <w:rPr>
          <w:b/>
          <w:i/>
        </w:rPr>
      </w:pPr>
      <w:r>
        <w:t xml:space="preserve">The Committee </w:t>
      </w:r>
      <w:r w:rsidR="00AA6915">
        <w:t xml:space="preserve">acknowledges that recent reform has been implemented </w:t>
      </w:r>
      <w:r w:rsidR="00C71C59">
        <w:t xml:space="preserve">in the ACT </w:t>
      </w:r>
      <w:r w:rsidR="00AA6915">
        <w:t xml:space="preserve">that will have improved support systems for families, </w:t>
      </w:r>
      <w:r w:rsidR="00D71891">
        <w:t>and young people</w:t>
      </w:r>
      <w:r w:rsidR="00AA6915">
        <w:t xml:space="preserve">. The Committee </w:t>
      </w:r>
      <w:r w:rsidR="001E0670">
        <w:t xml:space="preserve">will continue to report </w:t>
      </w:r>
      <w:r w:rsidR="005C2689">
        <w:t xml:space="preserve">on trends, to improve the quality of data, </w:t>
      </w:r>
      <w:r w:rsidR="001E0670">
        <w:t xml:space="preserve">and </w:t>
      </w:r>
      <w:r w:rsidR="00D71891">
        <w:t>recommend</w:t>
      </w:r>
      <w:r w:rsidR="001E0670">
        <w:t xml:space="preserve"> improvement</w:t>
      </w:r>
      <w:r w:rsidR="005C2689">
        <w:t>s</w:t>
      </w:r>
      <w:r w:rsidR="00F63F22">
        <w:t xml:space="preserve"> to systems and processes </w:t>
      </w:r>
      <w:r w:rsidR="001E0670">
        <w:t xml:space="preserve">to </w:t>
      </w:r>
      <w:r w:rsidR="00F63F22">
        <w:t xml:space="preserve">help </w:t>
      </w:r>
      <w:r w:rsidR="001E0670">
        <w:t xml:space="preserve">prevent future </w:t>
      </w:r>
      <w:r w:rsidR="005C2689">
        <w:t xml:space="preserve">avoidable </w:t>
      </w:r>
      <w:r w:rsidR="001E0670">
        <w:t>deaths.</w:t>
      </w:r>
      <w:r w:rsidR="00AA6915">
        <w:t xml:space="preserve">  The Committee’s next report will </w:t>
      </w:r>
      <w:r w:rsidR="00F63F22">
        <w:t>provide data for the 18-</w:t>
      </w:r>
      <w:r w:rsidR="00AA6915">
        <w:t>month period to end 2016.</w:t>
      </w:r>
    </w:p>
    <w:p w:rsidR="001E0670" w:rsidRPr="001731DF" w:rsidRDefault="00325856" w:rsidP="001731DF">
      <w:pPr>
        <w:rPr>
          <w:b/>
        </w:rPr>
      </w:pPr>
      <w:r w:rsidRPr="001731DF">
        <w:rPr>
          <w:b/>
        </w:rPr>
        <w:t>Ms Carmody</w:t>
      </w:r>
      <w:r w:rsidR="00F14BC8" w:rsidRPr="001731DF">
        <w:rPr>
          <w:b/>
        </w:rPr>
        <w:t xml:space="preserve"> is available for further comment on the contact details below.</w:t>
      </w:r>
    </w:p>
    <w:p w:rsidR="00960255" w:rsidRPr="001E0670" w:rsidRDefault="00960255" w:rsidP="001731DF">
      <w:pPr>
        <w:rPr>
          <w:b/>
          <w:i/>
        </w:rPr>
      </w:pPr>
    </w:p>
    <w:sectPr w:rsidR="00960255" w:rsidRPr="001E0670" w:rsidSect="003A234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30" w:right="1440" w:bottom="1134" w:left="1440" w:header="567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B7" w:rsidRDefault="007B5EB7" w:rsidP="002D75ED">
      <w:pPr>
        <w:spacing w:after="0" w:line="240" w:lineRule="auto"/>
      </w:pPr>
      <w:r>
        <w:separator/>
      </w:r>
    </w:p>
  </w:endnote>
  <w:endnote w:type="continuationSeparator" w:id="0">
    <w:p w:rsidR="007B5EB7" w:rsidRDefault="007B5EB7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C59" w:rsidRDefault="00C71C59">
    <w:pPr>
      <w:pStyle w:val="Footer"/>
    </w:pPr>
    <w:r>
      <w:t xml:space="preserve">Media Contact for Interviews and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1" w:type="dxa"/>
      <w:jc w:val="center"/>
      <w:tblLayout w:type="fixed"/>
      <w:tblLook w:val="04A0" w:firstRow="1" w:lastRow="0" w:firstColumn="1" w:lastColumn="0" w:noHBand="0" w:noVBand="1"/>
    </w:tblPr>
    <w:tblGrid>
      <w:gridCol w:w="1077"/>
      <w:gridCol w:w="2405"/>
      <w:gridCol w:w="2693"/>
      <w:gridCol w:w="3576"/>
    </w:tblGrid>
    <w:tr w:rsidR="00C71C59" w:rsidRPr="00C31761" w:rsidTr="00325856">
      <w:trPr>
        <w:trHeight w:val="389"/>
        <w:jc w:val="center"/>
      </w:trPr>
      <w:tc>
        <w:tcPr>
          <w:tcW w:w="1077" w:type="dxa"/>
        </w:tcPr>
        <w:p w:rsidR="00C71C59" w:rsidRPr="00C31761" w:rsidRDefault="00C71C59" w:rsidP="002514F6">
          <w:pPr>
            <w:pStyle w:val="Footer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C31761">
            <w:rPr>
              <w:rFonts w:ascii="Century Gothic" w:hAnsi="Century Gothic"/>
              <w:b/>
              <w:bCs/>
              <w:sz w:val="18"/>
              <w:szCs w:val="18"/>
            </w:rPr>
            <w:t>Media Contact:</w:t>
          </w:r>
        </w:p>
      </w:tc>
      <w:tc>
        <w:tcPr>
          <w:tcW w:w="2405" w:type="dxa"/>
          <w:vAlign w:val="bottom"/>
        </w:tcPr>
        <w:p w:rsidR="00C71C59" w:rsidRPr="00C31761" w:rsidRDefault="00C71C59" w:rsidP="00C31761">
          <w:pPr>
            <w:pStyle w:val="Footer"/>
            <w:rPr>
              <w:rFonts w:ascii="Century Gothic" w:hAnsi="Century Gothic"/>
              <w:bCs/>
              <w:iCs/>
              <w:sz w:val="18"/>
              <w:szCs w:val="18"/>
            </w:rPr>
          </w:pPr>
          <w:r>
            <w:rPr>
              <w:rFonts w:ascii="Century Gothic" w:hAnsi="Century Gothic"/>
              <w:bCs/>
              <w:iCs/>
              <w:sz w:val="18"/>
              <w:szCs w:val="18"/>
            </w:rPr>
            <w:t>Michelle Waterford</w:t>
          </w:r>
        </w:p>
      </w:tc>
      <w:tc>
        <w:tcPr>
          <w:tcW w:w="2693" w:type="dxa"/>
          <w:vAlign w:val="bottom"/>
        </w:tcPr>
        <w:p w:rsidR="00C71C59" w:rsidRPr="00C31761" w:rsidRDefault="00C71C59" w:rsidP="00C31761">
          <w:pPr>
            <w:pStyle w:val="Footer"/>
            <w:rPr>
              <w:rFonts w:ascii="Century Gothic" w:hAnsi="Century Gothic"/>
              <w:bCs/>
              <w:sz w:val="18"/>
              <w:szCs w:val="18"/>
            </w:rPr>
          </w:pPr>
          <w:r w:rsidRPr="00C31761">
            <w:rPr>
              <w:rFonts w:ascii="Century Gothic" w:hAnsi="Century Gothic"/>
              <w:bCs/>
              <w:sz w:val="18"/>
              <w:szCs w:val="18"/>
            </w:rPr>
            <w:t>Ph: 02 620</w:t>
          </w:r>
          <w:r>
            <w:rPr>
              <w:rFonts w:ascii="Century Gothic" w:hAnsi="Century Gothic"/>
              <w:bCs/>
              <w:sz w:val="18"/>
              <w:szCs w:val="18"/>
            </w:rPr>
            <w:t>5 2949</w:t>
          </w:r>
        </w:p>
      </w:tc>
      <w:tc>
        <w:tcPr>
          <w:tcW w:w="3576" w:type="dxa"/>
          <w:vAlign w:val="bottom"/>
        </w:tcPr>
        <w:p w:rsidR="00C71C59" w:rsidRPr="00325856" w:rsidRDefault="005871ED" w:rsidP="00C31761">
          <w:pPr>
            <w:pStyle w:val="Footer"/>
            <w:rPr>
              <w:rFonts w:ascii="Century Gothic" w:hAnsi="Century Gothic"/>
              <w:bCs/>
              <w:color w:val="1F497D" w:themeColor="text2"/>
              <w:sz w:val="18"/>
              <w:szCs w:val="18"/>
            </w:rPr>
          </w:pPr>
          <w:hyperlink r:id="rId1" w:history="1">
            <w:r w:rsidR="00C71C59" w:rsidRPr="00325856">
              <w:rPr>
                <w:rStyle w:val="Hyperlink"/>
                <w:rFonts w:ascii="Century Gothic" w:hAnsi="Century Gothic"/>
                <w:bCs/>
                <w:color w:val="1F497D" w:themeColor="text2"/>
                <w:sz w:val="18"/>
                <w:szCs w:val="18"/>
              </w:rPr>
              <w:t>childdeathreview@act.gov.au</w:t>
            </w:r>
          </w:hyperlink>
          <w:r w:rsidR="00C71C59" w:rsidRPr="00325856">
            <w:rPr>
              <w:rFonts w:ascii="Century Gothic" w:hAnsi="Century Gothic"/>
              <w:bCs/>
              <w:color w:val="1F497D" w:themeColor="text2"/>
              <w:sz w:val="18"/>
              <w:szCs w:val="18"/>
            </w:rPr>
            <w:t xml:space="preserve"> </w:t>
          </w:r>
        </w:p>
      </w:tc>
    </w:tr>
  </w:tbl>
  <w:p w:rsidR="00C71C59" w:rsidRPr="00C31761" w:rsidRDefault="00C71C59" w:rsidP="002514F6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B7" w:rsidRDefault="007B5EB7" w:rsidP="002D75ED">
      <w:pPr>
        <w:spacing w:after="0" w:line="240" w:lineRule="auto"/>
      </w:pPr>
      <w:r>
        <w:separator/>
      </w:r>
    </w:p>
  </w:footnote>
  <w:footnote w:type="continuationSeparator" w:id="0">
    <w:p w:rsidR="007B5EB7" w:rsidRDefault="007B5EB7" w:rsidP="002D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C59" w:rsidRPr="00D84FD8" w:rsidRDefault="00C71C59" w:rsidP="00D84FD8">
    <w:pPr>
      <w:rPr>
        <w:sz w:val="52"/>
        <w:szCs w:val="52"/>
      </w:rPr>
    </w:pPr>
    <w:r w:rsidRPr="002D75ED">
      <w:rPr>
        <w:sz w:val="52"/>
        <w:szCs w:val="52"/>
      </w:rPr>
      <w:t>Media</w:t>
    </w:r>
    <w:r>
      <w:rPr>
        <w:sz w:val="52"/>
        <w:szCs w:val="52"/>
      </w:rPr>
      <w:br/>
    </w:r>
    <w:r w:rsidRPr="002D75ED">
      <w:rPr>
        <w:sz w:val="52"/>
        <w:szCs w:val="52"/>
      </w:rPr>
      <w:t>Release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C59" w:rsidRPr="00D84FD8" w:rsidRDefault="00C71C59" w:rsidP="00D84FD8">
    <w:pPr>
      <w:rPr>
        <w:sz w:val="52"/>
        <w:szCs w:val="52"/>
      </w:rPr>
    </w:pPr>
    <w:r w:rsidRPr="002D75ED">
      <w:rPr>
        <w:noProof/>
        <w:lang w:eastAsia="en-A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1962150</wp:posOffset>
          </wp:positionH>
          <wp:positionV relativeFrom="paragraph">
            <wp:posOffset>-123825</wp:posOffset>
          </wp:positionV>
          <wp:extent cx="4029075" cy="1038225"/>
          <wp:effectExtent l="0" t="0" r="9525" b="9525"/>
          <wp:wrapSquare wrapText="bothSides"/>
          <wp:docPr id="3" name="Picture 1" title="Child Death Review Committ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 Harrop\AppData\Local\Microsoft\Windows\Temporary Internet Files\Content.Outlook\D866AIS5\CSD_DR_proof 3h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75ED">
      <w:rPr>
        <w:sz w:val="52"/>
        <w:szCs w:val="52"/>
      </w:rPr>
      <w:t xml:space="preserve">Media </w:t>
    </w:r>
    <w:r>
      <w:rPr>
        <w:sz w:val="52"/>
        <w:szCs w:val="52"/>
      </w:rPr>
      <w:br/>
    </w:r>
    <w:r w:rsidRPr="002D75ED">
      <w:rPr>
        <w:sz w:val="52"/>
        <w:szCs w:val="52"/>
      </w:rPr>
      <w:t>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742AC"/>
    <w:multiLevelType w:val="hybridMultilevel"/>
    <w:tmpl w:val="2AC8B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BA7"/>
    <w:multiLevelType w:val="hybridMultilevel"/>
    <w:tmpl w:val="78642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38A6"/>
    <w:multiLevelType w:val="hybridMultilevel"/>
    <w:tmpl w:val="3B3010B6"/>
    <w:lvl w:ilvl="0" w:tplc="BC766F38">
      <w:start w:val="40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E2372"/>
    <w:multiLevelType w:val="hybridMultilevel"/>
    <w:tmpl w:val="26A02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C0F5D"/>
    <w:multiLevelType w:val="hybridMultilevel"/>
    <w:tmpl w:val="49328918"/>
    <w:lvl w:ilvl="0" w:tplc="18BC561E">
      <w:start w:val="40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B5755"/>
    <w:multiLevelType w:val="hybridMultilevel"/>
    <w:tmpl w:val="229E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6A"/>
    <w:rsid w:val="00015D37"/>
    <w:rsid w:val="00016F12"/>
    <w:rsid w:val="00017178"/>
    <w:rsid w:val="00055A7E"/>
    <w:rsid w:val="00056A2D"/>
    <w:rsid w:val="000C684E"/>
    <w:rsid w:val="000D1166"/>
    <w:rsid w:val="000D5E67"/>
    <w:rsid w:val="000D6226"/>
    <w:rsid w:val="00134088"/>
    <w:rsid w:val="00164BBE"/>
    <w:rsid w:val="001665A8"/>
    <w:rsid w:val="001731DF"/>
    <w:rsid w:val="001809F4"/>
    <w:rsid w:val="00197E71"/>
    <w:rsid w:val="001A5BB1"/>
    <w:rsid w:val="001A6082"/>
    <w:rsid w:val="001A75CC"/>
    <w:rsid w:val="001C766D"/>
    <w:rsid w:val="001D1566"/>
    <w:rsid w:val="001D56E2"/>
    <w:rsid w:val="001E0670"/>
    <w:rsid w:val="001F2D25"/>
    <w:rsid w:val="00212317"/>
    <w:rsid w:val="0022251A"/>
    <w:rsid w:val="00230B7A"/>
    <w:rsid w:val="00247F86"/>
    <w:rsid w:val="002514F6"/>
    <w:rsid w:val="002648B0"/>
    <w:rsid w:val="002706ED"/>
    <w:rsid w:val="002879BF"/>
    <w:rsid w:val="00295D2D"/>
    <w:rsid w:val="002A4842"/>
    <w:rsid w:val="002D75ED"/>
    <w:rsid w:val="002F4B69"/>
    <w:rsid w:val="002F625F"/>
    <w:rsid w:val="00325856"/>
    <w:rsid w:val="00353458"/>
    <w:rsid w:val="00355B39"/>
    <w:rsid w:val="00357B5A"/>
    <w:rsid w:val="003A2349"/>
    <w:rsid w:val="003B0CC0"/>
    <w:rsid w:val="003B3AEC"/>
    <w:rsid w:val="003B4DB2"/>
    <w:rsid w:val="003C7881"/>
    <w:rsid w:val="003D6CFE"/>
    <w:rsid w:val="004231AB"/>
    <w:rsid w:val="00454C7D"/>
    <w:rsid w:val="00496763"/>
    <w:rsid w:val="00514001"/>
    <w:rsid w:val="00542232"/>
    <w:rsid w:val="005451A6"/>
    <w:rsid w:val="005562C0"/>
    <w:rsid w:val="00565058"/>
    <w:rsid w:val="00573658"/>
    <w:rsid w:val="005871ED"/>
    <w:rsid w:val="005C2689"/>
    <w:rsid w:val="005D1581"/>
    <w:rsid w:val="005D1F5A"/>
    <w:rsid w:val="005D1FCF"/>
    <w:rsid w:val="005E20BA"/>
    <w:rsid w:val="00605C3B"/>
    <w:rsid w:val="00634486"/>
    <w:rsid w:val="006509D0"/>
    <w:rsid w:val="00675518"/>
    <w:rsid w:val="006A3C14"/>
    <w:rsid w:val="006B5587"/>
    <w:rsid w:val="006C089E"/>
    <w:rsid w:val="006D7131"/>
    <w:rsid w:val="006E6745"/>
    <w:rsid w:val="0071253E"/>
    <w:rsid w:val="007211E2"/>
    <w:rsid w:val="00764975"/>
    <w:rsid w:val="007856C0"/>
    <w:rsid w:val="007A25F9"/>
    <w:rsid w:val="007A76F0"/>
    <w:rsid w:val="007B5EB7"/>
    <w:rsid w:val="007F5468"/>
    <w:rsid w:val="008050C2"/>
    <w:rsid w:val="0080566A"/>
    <w:rsid w:val="00831EA3"/>
    <w:rsid w:val="008437C3"/>
    <w:rsid w:val="00844585"/>
    <w:rsid w:val="008616F2"/>
    <w:rsid w:val="00864851"/>
    <w:rsid w:val="00872287"/>
    <w:rsid w:val="00884860"/>
    <w:rsid w:val="00895ABC"/>
    <w:rsid w:val="008C1A2B"/>
    <w:rsid w:val="008E224A"/>
    <w:rsid w:val="00935AD2"/>
    <w:rsid w:val="00960255"/>
    <w:rsid w:val="009669EA"/>
    <w:rsid w:val="00983E9E"/>
    <w:rsid w:val="009A3D34"/>
    <w:rsid w:val="009B6D57"/>
    <w:rsid w:val="009C615F"/>
    <w:rsid w:val="009D57A9"/>
    <w:rsid w:val="009E1B3C"/>
    <w:rsid w:val="009F1995"/>
    <w:rsid w:val="009F1F52"/>
    <w:rsid w:val="009F3D59"/>
    <w:rsid w:val="00A16AB8"/>
    <w:rsid w:val="00A208A9"/>
    <w:rsid w:val="00A2663C"/>
    <w:rsid w:val="00A437E3"/>
    <w:rsid w:val="00A762A0"/>
    <w:rsid w:val="00A9635B"/>
    <w:rsid w:val="00AA0CA8"/>
    <w:rsid w:val="00AA6915"/>
    <w:rsid w:val="00AB25B3"/>
    <w:rsid w:val="00AD7190"/>
    <w:rsid w:val="00AE7954"/>
    <w:rsid w:val="00B34183"/>
    <w:rsid w:val="00B423BF"/>
    <w:rsid w:val="00B56BFE"/>
    <w:rsid w:val="00B608A6"/>
    <w:rsid w:val="00B875AC"/>
    <w:rsid w:val="00BB23AE"/>
    <w:rsid w:val="00BB7CE6"/>
    <w:rsid w:val="00BE07D1"/>
    <w:rsid w:val="00C036D7"/>
    <w:rsid w:val="00C144D7"/>
    <w:rsid w:val="00C151DE"/>
    <w:rsid w:val="00C1768A"/>
    <w:rsid w:val="00C31761"/>
    <w:rsid w:val="00C33571"/>
    <w:rsid w:val="00C71C59"/>
    <w:rsid w:val="00CB14D5"/>
    <w:rsid w:val="00CB7C63"/>
    <w:rsid w:val="00CD674C"/>
    <w:rsid w:val="00D0446D"/>
    <w:rsid w:val="00D10F8F"/>
    <w:rsid w:val="00D37310"/>
    <w:rsid w:val="00D408A6"/>
    <w:rsid w:val="00D6768F"/>
    <w:rsid w:val="00D71891"/>
    <w:rsid w:val="00D73D9D"/>
    <w:rsid w:val="00D84FD8"/>
    <w:rsid w:val="00D935F5"/>
    <w:rsid w:val="00D93D49"/>
    <w:rsid w:val="00DC57D1"/>
    <w:rsid w:val="00DF46AF"/>
    <w:rsid w:val="00E05E1B"/>
    <w:rsid w:val="00E06CD8"/>
    <w:rsid w:val="00E42AB5"/>
    <w:rsid w:val="00E62BC7"/>
    <w:rsid w:val="00E91516"/>
    <w:rsid w:val="00E91D46"/>
    <w:rsid w:val="00E97310"/>
    <w:rsid w:val="00E978DA"/>
    <w:rsid w:val="00EB4067"/>
    <w:rsid w:val="00ED4F46"/>
    <w:rsid w:val="00ED6681"/>
    <w:rsid w:val="00EE18F4"/>
    <w:rsid w:val="00EE77A6"/>
    <w:rsid w:val="00EF31E9"/>
    <w:rsid w:val="00F05BAD"/>
    <w:rsid w:val="00F14BC8"/>
    <w:rsid w:val="00F25643"/>
    <w:rsid w:val="00F45BEB"/>
    <w:rsid w:val="00F50823"/>
    <w:rsid w:val="00F54EC8"/>
    <w:rsid w:val="00F63F22"/>
    <w:rsid w:val="00FC5C78"/>
    <w:rsid w:val="00FC63B6"/>
    <w:rsid w:val="00FF2E50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B307A0-D765-4E71-9CE1-108AFBE0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1DF"/>
    <w:pPr>
      <w:spacing w:after="200" w:line="276" w:lineRule="auto"/>
    </w:pPr>
    <w:rPr>
      <w:rFonts w:ascii="Century Gothic" w:hAnsi="Century Gothic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1D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3B3AE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A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3AEC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B3A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nhideWhenUsed/>
    <w:rsid w:val="003B3AEC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3B3A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rsid w:val="003B3AE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B3AEC"/>
    <w:pPr>
      <w:spacing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7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518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5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5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551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D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E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71C59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731DF"/>
    <w:rPr>
      <w:rFonts w:ascii="Century Gothic" w:eastAsiaTheme="majorEastAsia" w:hAnsi="Century Gothic" w:cstheme="majorBidi"/>
      <w:b/>
      <w:color w:val="000000" w:themeColor="text1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ilddeathreview@act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2626</CharactersWithSpaces>
  <SharedDoc>false</SharedDoc>
  <HLinks>
    <vt:vector size="18" baseType="variant">
      <vt:variant>
        <vt:i4>6815869</vt:i4>
      </vt:variant>
      <vt:variant>
        <vt:i4>6</vt:i4>
      </vt:variant>
      <vt:variant>
        <vt:i4>0</vt:i4>
      </vt:variant>
      <vt:variant>
        <vt:i4>5</vt:i4>
      </vt:variant>
      <vt:variant>
        <vt:lpwstr>http://www.childdeathcommittee.act.gov.au/</vt:lpwstr>
      </vt:variant>
      <vt:variant>
        <vt:lpwstr/>
      </vt:variant>
      <vt:variant>
        <vt:i4>1310804</vt:i4>
      </vt:variant>
      <vt:variant>
        <vt:i4>3</vt:i4>
      </vt:variant>
      <vt:variant>
        <vt:i4>0</vt:i4>
      </vt:variant>
      <vt:variant>
        <vt:i4>5</vt:i4>
      </vt:variant>
      <vt:variant>
        <vt:lpwstr>http://www.sidsandkids.org/safe-sleeping/</vt:lpwstr>
      </vt:variant>
      <vt:variant>
        <vt:lpwstr/>
      </vt:variant>
      <vt:variant>
        <vt:i4>5439507</vt:i4>
      </vt:variant>
      <vt:variant>
        <vt:i4>0</vt:i4>
      </vt:variant>
      <vt:variant>
        <vt:i4>0</vt:i4>
      </vt:variant>
      <vt:variant>
        <vt:i4>5</vt:i4>
      </vt:variant>
      <vt:variant>
        <vt:lpwstr>http://www.hqsc.govt.nz/assets/CYMRC/Publications/CMYRC-special-report-March-2013.pdf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Release: Preventing child deaths</dc:title>
  <dc:creator>Child Death Review Committee</dc:creator>
  <cp:lastModifiedBy>Barr, Beverley (CSD)</cp:lastModifiedBy>
  <cp:revision>2</cp:revision>
  <cp:lastPrinted>2016-03-06T23:56:00Z</cp:lastPrinted>
  <dcterms:created xsi:type="dcterms:W3CDTF">2017-03-27T23:46:00Z</dcterms:created>
  <dcterms:modified xsi:type="dcterms:W3CDTF">2017-03-27T23:46:00Z</dcterms:modified>
</cp:coreProperties>
</file>