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7A6" w:rsidRPr="00D84FD8" w:rsidRDefault="00F14BC8" w:rsidP="004375E2">
      <w:pPr>
        <w:jc w:val="right"/>
        <w:rPr>
          <w:b/>
          <w:bCs/>
          <w:i/>
          <w:iCs/>
        </w:rPr>
      </w:pPr>
      <w:r>
        <w:t>Monday</w:t>
      </w:r>
      <w:r w:rsidR="00895ABC">
        <w:t xml:space="preserve">, </w:t>
      </w:r>
      <w:r>
        <w:t>9</w:t>
      </w:r>
      <w:r w:rsidR="00D84FD8">
        <w:t xml:space="preserve"> </w:t>
      </w:r>
      <w:r>
        <w:t>November</w:t>
      </w:r>
      <w:r w:rsidR="00D84FD8">
        <w:t xml:space="preserve"> </w:t>
      </w:r>
      <w:r>
        <w:t>2015</w:t>
      </w:r>
    </w:p>
    <w:p w:rsidR="00FF494E" w:rsidRPr="004375E2" w:rsidRDefault="00F14BC8" w:rsidP="004375E2">
      <w:pPr>
        <w:pStyle w:val="Heading1"/>
        <w:rPr>
          <w:b w:val="0"/>
          <w:i/>
          <w:szCs w:val="36"/>
        </w:rPr>
      </w:pPr>
      <w:bookmarkStart w:id="0" w:name="_GoBack"/>
      <w:r w:rsidRPr="004375E2">
        <w:rPr>
          <w:b w:val="0"/>
          <w:szCs w:val="36"/>
        </w:rPr>
        <w:t>Button batteries</w:t>
      </w:r>
      <w:r w:rsidR="00AA0CA8" w:rsidRPr="004375E2">
        <w:rPr>
          <w:b w:val="0"/>
          <w:szCs w:val="36"/>
        </w:rPr>
        <w:t>: the invisible</w:t>
      </w:r>
      <w:r w:rsidRPr="004375E2">
        <w:rPr>
          <w:b w:val="0"/>
          <w:szCs w:val="36"/>
        </w:rPr>
        <w:t xml:space="preserve"> danger</w:t>
      </w:r>
    </w:p>
    <w:bookmarkEnd w:id="0"/>
    <w:p w:rsidR="00BE07D1" w:rsidRPr="00AE7954" w:rsidRDefault="00F14BC8" w:rsidP="004375E2">
      <w:pPr>
        <w:rPr>
          <w:b/>
          <w:i/>
        </w:rPr>
      </w:pPr>
      <w:r w:rsidRPr="00AE7954">
        <w:t xml:space="preserve">The recent </w:t>
      </w:r>
      <w:r w:rsidR="009B6D57" w:rsidRPr="00AE7954">
        <w:t xml:space="preserve">report from Queensland Coroner, Mr John Hutton, </w:t>
      </w:r>
      <w:r w:rsidRPr="00AE7954">
        <w:t>on the dangers of button batteries has prompted the ACT Children and Young People Death Review Committee (CYPDRC, the committee) to remind parents and guardians to be vigilant around the home.</w:t>
      </w:r>
      <w:r w:rsidR="00BE07D1" w:rsidRPr="00AE7954">
        <w:t xml:space="preserve"> </w:t>
      </w:r>
    </w:p>
    <w:p w:rsidR="00F14BC8" w:rsidRPr="00AE7954" w:rsidRDefault="00AE7954" w:rsidP="004375E2">
      <w:pPr>
        <w:rPr>
          <w:b/>
          <w:i/>
        </w:rPr>
      </w:pPr>
      <w:r>
        <w:t>Dr Penny Gregory, C</w:t>
      </w:r>
      <w:r w:rsidR="00F14BC8" w:rsidRPr="00AE7954">
        <w:t xml:space="preserve">hair of the CYPDRC has said that the ACT has never had a child die from swallowing a button battery but that doesn’t mean there haven’t been near misses. And the </w:t>
      </w:r>
      <w:r w:rsidR="001D1566">
        <w:t>catastrophic injuries;</w:t>
      </w:r>
      <w:r w:rsidR="00F14BC8" w:rsidRPr="00AE7954">
        <w:t xml:space="preserve"> difficult to identify symptoms from swallowing a button battery</w:t>
      </w:r>
      <w:r w:rsidR="001D1566">
        <w:t xml:space="preserve">; and short time window before injury occurs </w:t>
      </w:r>
      <w:r w:rsidR="00F14BC8" w:rsidRPr="00AE7954">
        <w:t>mean that prevention is vital.</w:t>
      </w:r>
    </w:p>
    <w:p w:rsidR="00197E71" w:rsidRPr="00AE7954" w:rsidRDefault="00895ABC" w:rsidP="004375E2">
      <w:pPr>
        <w:rPr>
          <w:b/>
          <w:i/>
        </w:rPr>
      </w:pPr>
      <w:r w:rsidRPr="00AE7954">
        <w:t>“</w:t>
      </w:r>
      <w:r w:rsidR="00F14BC8" w:rsidRPr="00AE7954">
        <w:t xml:space="preserve">Many parents whose children have </w:t>
      </w:r>
      <w:r w:rsidR="00AE7954">
        <w:t>suffered</w:t>
      </w:r>
      <w:r w:rsidR="00F14BC8" w:rsidRPr="00AE7954">
        <w:t xml:space="preserve"> in other jurisdictions were surprised that their child had access to the batteries</w:t>
      </w:r>
      <w:r w:rsidR="001D1566">
        <w:t>. Often the source of the battery is never identified</w:t>
      </w:r>
      <w:r w:rsidR="00F14BC8" w:rsidRPr="00AE7954">
        <w:t>” Dr Gregory said.</w:t>
      </w:r>
    </w:p>
    <w:p w:rsidR="00F14BC8" w:rsidRPr="00AE7954" w:rsidRDefault="00F14BC8" w:rsidP="004375E2">
      <w:pPr>
        <w:rPr>
          <w:b/>
          <w:i/>
        </w:rPr>
      </w:pPr>
      <w:r w:rsidRPr="00AE7954">
        <w:t xml:space="preserve">“In children’s toys, battery compartments </w:t>
      </w:r>
      <w:r w:rsidR="004231AB">
        <w:t xml:space="preserve">must be </w:t>
      </w:r>
      <w:r w:rsidR="009B6D57" w:rsidRPr="00AE7954">
        <w:t>secure</w:t>
      </w:r>
      <w:r w:rsidR="000D1166">
        <w:t xml:space="preserve"> under regulation</w:t>
      </w:r>
      <w:r w:rsidRPr="00AE7954">
        <w:t xml:space="preserve"> but in other everyday household items, like</w:t>
      </w:r>
      <w:r w:rsidR="00C036D7" w:rsidRPr="00AE7954">
        <w:t xml:space="preserve"> kitchen</w:t>
      </w:r>
      <w:r w:rsidRPr="00AE7954">
        <w:t xml:space="preserve"> scales and torches, button batteries are easily accessible.</w:t>
      </w:r>
    </w:p>
    <w:p w:rsidR="00A9635B" w:rsidRPr="00AE7954" w:rsidRDefault="0080566A" w:rsidP="004375E2">
      <w:pPr>
        <w:rPr>
          <w:b/>
          <w:i/>
        </w:rPr>
      </w:pPr>
      <w:r w:rsidRPr="00AE7954">
        <w:t>“</w:t>
      </w:r>
      <w:r w:rsidR="00C036D7" w:rsidRPr="00AE7954">
        <w:t xml:space="preserve">The </w:t>
      </w:r>
      <w:r w:rsidR="00AE7954" w:rsidRPr="00AE7954">
        <w:t>c</w:t>
      </w:r>
      <w:r w:rsidR="00C036D7" w:rsidRPr="00AE7954">
        <w:t xml:space="preserve">ommittee is working in partnership with Kidsafe to get the message out to the community – Button batteries are a risk to your child. </w:t>
      </w:r>
    </w:p>
    <w:p w:rsidR="00A9635B" w:rsidRPr="00AE7954" w:rsidRDefault="00AE7954" w:rsidP="004375E2">
      <w:pPr>
        <w:rPr>
          <w:b/>
          <w:i/>
        </w:rPr>
      </w:pPr>
      <w:r w:rsidRPr="00AE7954">
        <w:t>“</w:t>
      </w:r>
      <w:r w:rsidR="00C036D7" w:rsidRPr="00AE7954">
        <w:t xml:space="preserve">And if you think there’s a possibility your child might have swallowed a battery – </w:t>
      </w:r>
      <w:r w:rsidR="001D1566">
        <w:t xml:space="preserve">call Poisons Information, go straight to </w:t>
      </w:r>
      <w:r w:rsidR="000D1166">
        <w:t xml:space="preserve">a </w:t>
      </w:r>
      <w:r w:rsidR="001D1566">
        <w:t xml:space="preserve">hospital Emergency Department and </w:t>
      </w:r>
      <w:r w:rsidR="00C036D7" w:rsidRPr="00AE7954">
        <w:t>ask for an urgent xray.</w:t>
      </w:r>
    </w:p>
    <w:p w:rsidR="00A9635B" w:rsidRPr="00AE7954" w:rsidRDefault="00AE7954" w:rsidP="004375E2">
      <w:pPr>
        <w:rPr>
          <w:b/>
          <w:i/>
        </w:rPr>
      </w:pPr>
      <w:r w:rsidRPr="00AE7954">
        <w:t>“</w:t>
      </w:r>
      <w:r w:rsidR="00C036D7" w:rsidRPr="00AE7954">
        <w:t xml:space="preserve">The Committee is also urging health authorities to maintain a focus on educating health professionals in diagnosing </w:t>
      </w:r>
      <w:r w:rsidR="009E1B3C">
        <w:t xml:space="preserve">potential </w:t>
      </w:r>
      <w:r w:rsidR="00C036D7" w:rsidRPr="00AE7954">
        <w:t xml:space="preserve">battery </w:t>
      </w:r>
      <w:r w:rsidR="009E1B3C">
        <w:t>ingestion</w:t>
      </w:r>
      <w:r w:rsidR="00C036D7" w:rsidRPr="00AE7954">
        <w:t xml:space="preserve">. </w:t>
      </w:r>
    </w:p>
    <w:p w:rsidR="00F14BC8" w:rsidRPr="00AE7954" w:rsidRDefault="00F14BC8" w:rsidP="004375E2">
      <w:pPr>
        <w:rPr>
          <w:b/>
          <w:i/>
        </w:rPr>
      </w:pPr>
      <w:r w:rsidRPr="00AE7954">
        <w:t>Kidsafe CEO</w:t>
      </w:r>
      <w:r w:rsidR="002648B0">
        <w:t xml:space="preserve"> and D</w:t>
      </w:r>
      <w:r w:rsidR="009B6D57" w:rsidRPr="00AE7954">
        <w:t>eputy Chair of the committee,</w:t>
      </w:r>
      <w:r w:rsidRPr="00AE7954">
        <w:t xml:space="preserve"> Mr Eric Chalmers</w:t>
      </w:r>
      <w:r w:rsidR="009B6D57" w:rsidRPr="00AE7954">
        <w:t>,</w:t>
      </w:r>
      <w:r w:rsidRPr="00AE7954">
        <w:t xml:space="preserve"> has said that there is an ongoing campaign to ensure that manufacturers</w:t>
      </w:r>
      <w:r w:rsidR="009E1B3C">
        <w:t xml:space="preserve">, </w:t>
      </w:r>
      <w:r w:rsidR="009B6D57" w:rsidRPr="00AE7954">
        <w:t>community members</w:t>
      </w:r>
      <w:r w:rsidR="009E1B3C">
        <w:t xml:space="preserve"> and the health system</w:t>
      </w:r>
      <w:r w:rsidR="009B6D57" w:rsidRPr="00AE7954">
        <w:t xml:space="preserve"> </w:t>
      </w:r>
      <w:r w:rsidR="0080566A" w:rsidRPr="00AE7954">
        <w:t>are</w:t>
      </w:r>
      <w:r w:rsidRPr="00AE7954">
        <w:t xml:space="preserve"> more cognisant of the dangers that button batteries pose.</w:t>
      </w:r>
    </w:p>
    <w:p w:rsidR="00F14BC8" w:rsidRPr="00AE7954" w:rsidRDefault="00F14BC8" w:rsidP="004375E2">
      <w:pPr>
        <w:rPr>
          <w:b/>
          <w:i/>
        </w:rPr>
      </w:pPr>
      <w:r w:rsidRPr="00AE7954">
        <w:t>“</w:t>
      </w:r>
      <w:r w:rsidR="0080566A" w:rsidRPr="00AE7954">
        <w:t>Kidsafe has long been aware of the dangers of button batteries and are seeking support across Australia to change manufacturing</w:t>
      </w:r>
      <w:r w:rsidR="009E1B3C">
        <w:t xml:space="preserve">, collection and disposal and health system </w:t>
      </w:r>
      <w:r w:rsidR="0080566A" w:rsidRPr="00AE7954">
        <w:t>practices,</w:t>
      </w:r>
      <w:r w:rsidRPr="00AE7954">
        <w:t xml:space="preserve"> he said.</w:t>
      </w:r>
    </w:p>
    <w:p w:rsidR="0080566A" w:rsidRPr="00AE7954" w:rsidRDefault="0080566A" w:rsidP="004375E2">
      <w:pPr>
        <w:rPr>
          <w:b/>
          <w:i/>
        </w:rPr>
      </w:pPr>
      <w:r w:rsidRPr="00AE7954">
        <w:t>“The consequences from a swallowed button battery can be catastrophic with severe damage starting within two hours and can continue for some days after removal of the battery.</w:t>
      </w:r>
    </w:p>
    <w:p w:rsidR="009B6D57" w:rsidRPr="00AE7954" w:rsidRDefault="009B6D57" w:rsidP="004375E2">
      <w:pPr>
        <w:rPr>
          <w:b/>
          <w:i/>
        </w:rPr>
      </w:pPr>
      <w:r w:rsidRPr="00AE7954">
        <w:t xml:space="preserve">“Kidsafe is a partner in the Battery Controlled initiative which is campaigning on the simple message of vigilance: Take Charge. Act Now. Keep out of reach. Get help. Spread the word. </w:t>
      </w:r>
    </w:p>
    <w:p w:rsidR="001665A8" w:rsidRPr="00AE7954" w:rsidRDefault="009B6D57" w:rsidP="004375E2">
      <w:r w:rsidRPr="00AE7954">
        <w:t>Further information is on the Battery Controlled website:</w:t>
      </w:r>
      <w:r w:rsidR="009D57A9" w:rsidRPr="00AE7954">
        <w:t xml:space="preserve"> </w:t>
      </w:r>
      <w:hyperlink r:id="rId7" w:history="1">
        <w:r w:rsidRPr="00AE7954">
          <w:rPr>
            <w:rStyle w:val="Hyperlink"/>
            <w:szCs w:val="20"/>
          </w:rPr>
          <w:t>http://thebatterycontrolled.com.au/</w:t>
        </w:r>
      </w:hyperlink>
      <w:r w:rsidR="00764975" w:rsidRPr="00AE7954">
        <w:t>.</w:t>
      </w:r>
    </w:p>
    <w:p w:rsidR="004231AB" w:rsidRPr="004231AB" w:rsidRDefault="004231AB" w:rsidP="004375E2">
      <w:pPr>
        <w:rPr>
          <w:b/>
          <w:sz w:val="12"/>
        </w:rPr>
      </w:pPr>
    </w:p>
    <w:p w:rsidR="004231AB" w:rsidRDefault="00F14BC8" w:rsidP="004375E2">
      <w:pPr>
        <w:rPr>
          <w:b/>
        </w:rPr>
      </w:pPr>
      <w:r>
        <w:rPr>
          <w:b/>
        </w:rPr>
        <w:t>Dr Gregory is available for further comment on the contact details below.</w:t>
      </w:r>
    </w:p>
    <w:p w:rsidR="00960255" w:rsidRPr="001665A8" w:rsidRDefault="00960255" w:rsidP="004375E2">
      <w:pPr>
        <w:rPr>
          <w:b/>
        </w:rPr>
      </w:pPr>
      <w:r>
        <w:rPr>
          <w:b/>
        </w:rPr>
        <w:t>Committee members also available for interview</w:t>
      </w:r>
      <w:proofErr w:type="gramStart"/>
      <w:r>
        <w:rPr>
          <w:b/>
        </w:rPr>
        <w:t>:</w:t>
      </w:r>
      <w:proofErr w:type="gramEnd"/>
      <w:r w:rsidR="001665A8">
        <w:rPr>
          <w:b/>
        </w:rPr>
        <w:br/>
      </w:r>
      <w:r w:rsidR="00F14BC8">
        <w:t>Mr Eric Chlamers, CEO Kidsafe</w:t>
      </w:r>
      <w:r w:rsidR="009B6D57">
        <w:t xml:space="preserve"> &amp; Deputy Chair, ACT CYPDRC</w:t>
      </w:r>
      <w:r w:rsidR="00F14BC8">
        <w:t>,</w:t>
      </w:r>
      <w:r w:rsidR="009B6D57">
        <w:t xml:space="preserve"> 0402 097 339</w:t>
      </w:r>
      <w:r w:rsidR="00F14BC8">
        <w:t xml:space="preserve"> </w:t>
      </w:r>
    </w:p>
    <w:sectPr w:rsidR="00960255" w:rsidRPr="001665A8" w:rsidSect="004375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70" w:right="1440" w:bottom="1134" w:left="1440" w:header="567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66" w:rsidRDefault="001D1566" w:rsidP="002D75ED">
      <w:pPr>
        <w:spacing w:after="0" w:line="240" w:lineRule="auto"/>
      </w:pPr>
      <w:r>
        <w:separator/>
      </w:r>
    </w:p>
  </w:endnote>
  <w:endnote w:type="continuationSeparator" w:id="0">
    <w:p w:rsidR="001D1566" w:rsidRDefault="001D1566" w:rsidP="002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66" w:rsidRDefault="001D1566">
    <w:pPr>
      <w:pStyle w:val="Footer"/>
    </w:pPr>
    <w:r>
      <w:t xml:space="preserve">Media Contact for Interviews and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1" w:type="dxa"/>
      <w:jc w:val="center"/>
      <w:tblLayout w:type="fixed"/>
      <w:tblLook w:val="04A0" w:firstRow="1" w:lastRow="0" w:firstColumn="1" w:lastColumn="0" w:noHBand="0" w:noVBand="1"/>
    </w:tblPr>
    <w:tblGrid>
      <w:gridCol w:w="1077"/>
      <w:gridCol w:w="1814"/>
      <w:gridCol w:w="1644"/>
      <w:gridCol w:w="1871"/>
      <w:gridCol w:w="3345"/>
    </w:tblGrid>
    <w:tr w:rsidR="001D1566" w:rsidRPr="00C31761" w:rsidTr="00C31761">
      <w:trPr>
        <w:trHeight w:val="389"/>
        <w:jc w:val="center"/>
      </w:trPr>
      <w:tc>
        <w:tcPr>
          <w:tcW w:w="1077" w:type="dxa"/>
        </w:tcPr>
        <w:p w:rsidR="001D1566" w:rsidRPr="00C31761" w:rsidRDefault="001D1566" w:rsidP="002514F6">
          <w:pPr>
            <w:pStyle w:val="Footer"/>
            <w:rPr>
              <w:rFonts w:ascii="Century Gothic" w:hAnsi="Century Gothic"/>
              <w:b/>
              <w:bCs/>
              <w:sz w:val="18"/>
              <w:szCs w:val="18"/>
            </w:rPr>
          </w:pPr>
          <w:r w:rsidRPr="00C31761">
            <w:rPr>
              <w:rFonts w:ascii="Century Gothic" w:hAnsi="Century Gothic"/>
              <w:b/>
              <w:bCs/>
              <w:sz w:val="18"/>
              <w:szCs w:val="18"/>
            </w:rPr>
            <w:t>Media Contact:</w:t>
          </w:r>
        </w:p>
      </w:tc>
      <w:tc>
        <w:tcPr>
          <w:tcW w:w="1814" w:type="dxa"/>
          <w:vAlign w:val="bottom"/>
        </w:tcPr>
        <w:p w:rsidR="001D1566" w:rsidRPr="00C31761" w:rsidRDefault="001D1566" w:rsidP="00C31761">
          <w:pPr>
            <w:pStyle w:val="Footer"/>
            <w:rPr>
              <w:rFonts w:ascii="Century Gothic" w:hAnsi="Century Gothic"/>
              <w:bCs/>
              <w:iCs/>
              <w:sz w:val="18"/>
              <w:szCs w:val="18"/>
            </w:rPr>
          </w:pPr>
          <w:r w:rsidRPr="00C31761">
            <w:rPr>
              <w:rFonts w:ascii="Century Gothic" w:hAnsi="Century Gothic"/>
              <w:bCs/>
              <w:iCs/>
              <w:sz w:val="18"/>
              <w:szCs w:val="18"/>
            </w:rPr>
            <w:t>Dr Penny Gregory</w:t>
          </w:r>
        </w:p>
      </w:tc>
      <w:tc>
        <w:tcPr>
          <w:tcW w:w="1644" w:type="dxa"/>
          <w:vAlign w:val="bottom"/>
        </w:tcPr>
        <w:p w:rsidR="001D1566" w:rsidRPr="00C31761" w:rsidRDefault="001D1566" w:rsidP="00C31761">
          <w:pPr>
            <w:pStyle w:val="Footer"/>
            <w:rPr>
              <w:rFonts w:ascii="Century Gothic" w:hAnsi="Century Gothic"/>
              <w:bCs/>
              <w:sz w:val="18"/>
              <w:szCs w:val="18"/>
            </w:rPr>
          </w:pPr>
          <w:r w:rsidRPr="00C31761">
            <w:rPr>
              <w:rFonts w:ascii="Century Gothic" w:hAnsi="Century Gothic"/>
              <w:bCs/>
              <w:sz w:val="18"/>
              <w:szCs w:val="18"/>
            </w:rPr>
            <w:t>Ph: 02 6201 9013</w:t>
          </w:r>
        </w:p>
      </w:tc>
      <w:tc>
        <w:tcPr>
          <w:tcW w:w="1871" w:type="dxa"/>
          <w:vAlign w:val="bottom"/>
        </w:tcPr>
        <w:p w:rsidR="001D1566" w:rsidRPr="00C31761" w:rsidRDefault="001D1566" w:rsidP="00C31761">
          <w:pPr>
            <w:pStyle w:val="Footer"/>
            <w:rPr>
              <w:rFonts w:ascii="Century Gothic" w:hAnsi="Century Gothic"/>
              <w:bCs/>
              <w:sz w:val="18"/>
              <w:szCs w:val="18"/>
            </w:rPr>
          </w:pPr>
          <w:r w:rsidRPr="00C31761">
            <w:rPr>
              <w:rFonts w:ascii="Century Gothic" w:hAnsi="Century Gothic"/>
              <w:bCs/>
              <w:sz w:val="18"/>
              <w:szCs w:val="18"/>
            </w:rPr>
            <w:t>Mob: 0418 454 924</w:t>
          </w:r>
        </w:p>
      </w:tc>
      <w:tc>
        <w:tcPr>
          <w:tcW w:w="3345" w:type="dxa"/>
          <w:vAlign w:val="bottom"/>
        </w:tcPr>
        <w:p w:rsidR="001D1566" w:rsidRPr="00C31761" w:rsidRDefault="001D1566" w:rsidP="00C31761">
          <w:pPr>
            <w:pStyle w:val="Footer"/>
            <w:rPr>
              <w:rFonts w:ascii="Century Gothic" w:hAnsi="Century Gothic"/>
              <w:bCs/>
              <w:sz w:val="18"/>
              <w:szCs w:val="18"/>
            </w:rPr>
          </w:pPr>
          <w:r>
            <w:rPr>
              <w:rFonts w:ascii="Century Gothic" w:hAnsi="Century Gothic"/>
              <w:bCs/>
              <w:sz w:val="18"/>
              <w:szCs w:val="18"/>
            </w:rPr>
            <w:t>p</w:t>
          </w:r>
          <w:r w:rsidRPr="00C31761">
            <w:rPr>
              <w:rFonts w:ascii="Century Gothic" w:hAnsi="Century Gothic"/>
              <w:bCs/>
              <w:sz w:val="18"/>
              <w:szCs w:val="18"/>
            </w:rPr>
            <w:t>enny.gregory@nousgroup.com.au</w:t>
          </w:r>
        </w:p>
      </w:tc>
    </w:tr>
  </w:tbl>
  <w:p w:rsidR="001D1566" w:rsidRPr="00C31761" w:rsidRDefault="001D1566" w:rsidP="002514F6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66" w:rsidRDefault="001D1566" w:rsidP="002D75ED">
      <w:pPr>
        <w:spacing w:after="0" w:line="240" w:lineRule="auto"/>
      </w:pPr>
      <w:r>
        <w:separator/>
      </w:r>
    </w:p>
  </w:footnote>
  <w:footnote w:type="continuationSeparator" w:id="0">
    <w:p w:rsidR="001D1566" w:rsidRDefault="001D1566" w:rsidP="002D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66" w:rsidRPr="00D84FD8" w:rsidRDefault="001D1566" w:rsidP="00D84FD8">
    <w:pPr>
      <w:rPr>
        <w:sz w:val="52"/>
        <w:szCs w:val="52"/>
      </w:rPr>
    </w:pPr>
    <w:r w:rsidRPr="002D75ED">
      <w:rPr>
        <w:noProof/>
        <w:lang w:eastAsia="en-A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1962150</wp:posOffset>
          </wp:positionH>
          <wp:positionV relativeFrom="paragraph">
            <wp:posOffset>-123825</wp:posOffset>
          </wp:positionV>
          <wp:extent cx="4029075" cy="1038225"/>
          <wp:effectExtent l="19050" t="0" r="9525" b="0"/>
          <wp:wrapSquare wrapText="bothSides"/>
          <wp:docPr id="11" name="Picture 11" descr="C:\Users\Barbara Harrop\AppData\Local\Microsoft\Windows\Temporary Internet Files\Content.Outlook\D866AIS5\CSD_DR_proof 3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 Harrop\AppData\Local\Microsoft\Windows\Temporary Internet Files\Content.Outlook\D866AIS5\CSD_DR_proof 3h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75ED">
      <w:rPr>
        <w:sz w:val="52"/>
        <w:szCs w:val="52"/>
      </w:rPr>
      <w:t>Media</w:t>
    </w:r>
    <w:r>
      <w:rPr>
        <w:sz w:val="52"/>
        <w:szCs w:val="52"/>
      </w:rPr>
      <w:br/>
    </w:r>
    <w:r w:rsidRPr="002D75ED">
      <w:rPr>
        <w:sz w:val="52"/>
        <w:szCs w:val="52"/>
      </w:rPr>
      <w:t>Release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66" w:rsidRPr="00D84FD8" w:rsidRDefault="001D1566" w:rsidP="00D84FD8">
    <w:pPr>
      <w:rPr>
        <w:sz w:val="52"/>
        <w:szCs w:val="52"/>
      </w:rPr>
    </w:pPr>
    <w:r w:rsidRPr="002D75ED"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1962150</wp:posOffset>
          </wp:positionH>
          <wp:positionV relativeFrom="paragraph">
            <wp:posOffset>-123825</wp:posOffset>
          </wp:positionV>
          <wp:extent cx="4029075" cy="1038225"/>
          <wp:effectExtent l="0" t="0" r="0" b="0"/>
          <wp:wrapSquare wrapText="bothSides"/>
          <wp:docPr id="12" name="Picture 1" descr="ACT Children &amp; Young People Death Review Committee" title="ACT Children &amp; Young People Death Review 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 Harrop\AppData\Local\Microsoft\Windows\Temporary Internet Files\Content.Outlook\D866AIS5\CSD_DR_proof 3h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D75ED">
      <w:rPr>
        <w:sz w:val="52"/>
        <w:szCs w:val="52"/>
      </w:rPr>
      <w:t xml:space="preserve">Media </w:t>
    </w:r>
    <w:r>
      <w:rPr>
        <w:sz w:val="52"/>
        <w:szCs w:val="52"/>
      </w:rPr>
      <w:br/>
    </w:r>
    <w:r w:rsidRPr="002D75ED">
      <w:rPr>
        <w:sz w:val="52"/>
        <w:szCs w:val="52"/>
      </w:rPr>
      <w:t>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742AC"/>
    <w:multiLevelType w:val="hybridMultilevel"/>
    <w:tmpl w:val="2AC8B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038A6"/>
    <w:multiLevelType w:val="hybridMultilevel"/>
    <w:tmpl w:val="3B3010B6"/>
    <w:lvl w:ilvl="0" w:tplc="BC766F38">
      <w:start w:val="40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E2372"/>
    <w:multiLevelType w:val="hybridMultilevel"/>
    <w:tmpl w:val="26A02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C0F5D"/>
    <w:multiLevelType w:val="hybridMultilevel"/>
    <w:tmpl w:val="49328918"/>
    <w:lvl w:ilvl="0" w:tplc="18BC561E">
      <w:start w:val="40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66A"/>
    <w:rsid w:val="00015D37"/>
    <w:rsid w:val="00016F12"/>
    <w:rsid w:val="000D1166"/>
    <w:rsid w:val="00134088"/>
    <w:rsid w:val="001665A8"/>
    <w:rsid w:val="001809F4"/>
    <w:rsid w:val="00197E71"/>
    <w:rsid w:val="001A6082"/>
    <w:rsid w:val="001C766D"/>
    <w:rsid w:val="001D1566"/>
    <w:rsid w:val="001D56E2"/>
    <w:rsid w:val="001F2D25"/>
    <w:rsid w:val="0022251A"/>
    <w:rsid w:val="002514F6"/>
    <w:rsid w:val="002648B0"/>
    <w:rsid w:val="002706ED"/>
    <w:rsid w:val="00295D2D"/>
    <w:rsid w:val="002A4842"/>
    <w:rsid w:val="002D75ED"/>
    <w:rsid w:val="002F4B69"/>
    <w:rsid w:val="00357B5A"/>
    <w:rsid w:val="00380CB6"/>
    <w:rsid w:val="003B3AEC"/>
    <w:rsid w:val="003B4DB2"/>
    <w:rsid w:val="003D6CFE"/>
    <w:rsid w:val="004231AB"/>
    <w:rsid w:val="004375E2"/>
    <w:rsid w:val="00454C7D"/>
    <w:rsid w:val="00514001"/>
    <w:rsid w:val="005451A6"/>
    <w:rsid w:val="005562C0"/>
    <w:rsid w:val="00565058"/>
    <w:rsid w:val="005D1581"/>
    <w:rsid w:val="005D1F5A"/>
    <w:rsid w:val="005D1FCF"/>
    <w:rsid w:val="00634486"/>
    <w:rsid w:val="006509D0"/>
    <w:rsid w:val="00675518"/>
    <w:rsid w:val="006E6745"/>
    <w:rsid w:val="0071253E"/>
    <w:rsid w:val="00764975"/>
    <w:rsid w:val="007856C0"/>
    <w:rsid w:val="007A25F9"/>
    <w:rsid w:val="007A76F0"/>
    <w:rsid w:val="007F5468"/>
    <w:rsid w:val="008050C2"/>
    <w:rsid w:val="0080566A"/>
    <w:rsid w:val="00831EA3"/>
    <w:rsid w:val="00895ABC"/>
    <w:rsid w:val="008C1A2B"/>
    <w:rsid w:val="008E224A"/>
    <w:rsid w:val="00960255"/>
    <w:rsid w:val="00983E9E"/>
    <w:rsid w:val="009B6D57"/>
    <w:rsid w:val="009C615F"/>
    <w:rsid w:val="009D57A9"/>
    <w:rsid w:val="009E1B3C"/>
    <w:rsid w:val="00A208A9"/>
    <w:rsid w:val="00A2663C"/>
    <w:rsid w:val="00A437E3"/>
    <w:rsid w:val="00A762A0"/>
    <w:rsid w:val="00A9635B"/>
    <w:rsid w:val="00AA0CA8"/>
    <w:rsid w:val="00AB25B3"/>
    <w:rsid w:val="00AE7954"/>
    <w:rsid w:val="00B34183"/>
    <w:rsid w:val="00B56BFE"/>
    <w:rsid w:val="00B608A6"/>
    <w:rsid w:val="00B875AC"/>
    <w:rsid w:val="00BB23AE"/>
    <w:rsid w:val="00BB7CE6"/>
    <w:rsid w:val="00BE07D1"/>
    <w:rsid w:val="00C036D7"/>
    <w:rsid w:val="00C151DE"/>
    <w:rsid w:val="00C1768A"/>
    <w:rsid w:val="00C31761"/>
    <w:rsid w:val="00C33571"/>
    <w:rsid w:val="00CB14D5"/>
    <w:rsid w:val="00CB7C63"/>
    <w:rsid w:val="00D37310"/>
    <w:rsid w:val="00D408A6"/>
    <w:rsid w:val="00D73D9D"/>
    <w:rsid w:val="00D84FD8"/>
    <w:rsid w:val="00D93D49"/>
    <w:rsid w:val="00DC57D1"/>
    <w:rsid w:val="00DF46AF"/>
    <w:rsid w:val="00E05E1B"/>
    <w:rsid w:val="00E06CD8"/>
    <w:rsid w:val="00E42AB5"/>
    <w:rsid w:val="00E97310"/>
    <w:rsid w:val="00E978DA"/>
    <w:rsid w:val="00EB4067"/>
    <w:rsid w:val="00ED4F46"/>
    <w:rsid w:val="00ED6681"/>
    <w:rsid w:val="00EE18F4"/>
    <w:rsid w:val="00EE77A6"/>
    <w:rsid w:val="00F05BAD"/>
    <w:rsid w:val="00F14BC8"/>
    <w:rsid w:val="00F25643"/>
    <w:rsid w:val="00F45BEB"/>
    <w:rsid w:val="00F50823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64A672-B8CD-4372-BDC5-054F06F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5E2"/>
    <w:pPr>
      <w:spacing w:after="80" w:line="276" w:lineRule="auto"/>
    </w:pPr>
    <w:rPr>
      <w:rFonts w:ascii="Century Gothic" w:hAnsi="Century Gothic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5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3B3AE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A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3AEC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B3A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nhideWhenUsed/>
    <w:rsid w:val="003B3AEC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3B3A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rsid w:val="003B3AE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B3AEC"/>
    <w:pPr>
      <w:spacing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75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518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5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5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551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D7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ED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375E2"/>
    <w:rPr>
      <w:rFonts w:ascii="Century Gothic" w:eastAsiaTheme="majorEastAsia" w:hAnsi="Century Gothic" w:cstheme="majorBidi"/>
      <w:b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hebatterycontrolled.com.a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C6737999</Template>
  <TotalTime>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Children &amp; Young People Death Review Committee</vt:lpstr>
    </vt:vector>
  </TitlesOfParts>
  <Company>ACT Government</Company>
  <LinksUpToDate>false</LinksUpToDate>
  <CharactersWithSpaces>2644</CharactersWithSpaces>
  <SharedDoc>false</SharedDoc>
  <HLinks>
    <vt:vector size="18" baseType="variant">
      <vt:variant>
        <vt:i4>6815869</vt:i4>
      </vt:variant>
      <vt:variant>
        <vt:i4>6</vt:i4>
      </vt:variant>
      <vt:variant>
        <vt:i4>0</vt:i4>
      </vt:variant>
      <vt:variant>
        <vt:i4>5</vt:i4>
      </vt:variant>
      <vt:variant>
        <vt:lpwstr>http://www.childdeathcommittee.act.gov.au/</vt:lpwstr>
      </vt:variant>
      <vt:variant>
        <vt:lpwstr/>
      </vt:variant>
      <vt:variant>
        <vt:i4>1310804</vt:i4>
      </vt:variant>
      <vt:variant>
        <vt:i4>3</vt:i4>
      </vt:variant>
      <vt:variant>
        <vt:i4>0</vt:i4>
      </vt:variant>
      <vt:variant>
        <vt:i4>5</vt:i4>
      </vt:variant>
      <vt:variant>
        <vt:lpwstr>http://www.sidsandkids.org/safe-sleeping/</vt:lpwstr>
      </vt:variant>
      <vt:variant>
        <vt:lpwstr/>
      </vt:variant>
      <vt:variant>
        <vt:i4>5439507</vt:i4>
      </vt:variant>
      <vt:variant>
        <vt:i4>0</vt:i4>
      </vt:variant>
      <vt:variant>
        <vt:i4>0</vt:i4>
      </vt:variant>
      <vt:variant>
        <vt:i4>5</vt:i4>
      </vt:variant>
      <vt:variant>
        <vt:lpwstr>http://www.hqsc.govt.nz/assets/CYMRC/Publications/CMYRC-special-report-March-2013.pdf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Children &amp; Young People Death Review Committee</dc:title>
  <dc:subject>Button batteries: the invisible danger</dc:subject>
  <dc:creator>ACT Government</dc:creator>
  <cp:keywords>Button batteries: the invisible danger</cp:keywords>
  <cp:lastModifiedBy>Abramovic, Michelle</cp:lastModifiedBy>
  <cp:revision>6</cp:revision>
  <cp:lastPrinted>2015-11-09T01:51:00Z</cp:lastPrinted>
  <dcterms:created xsi:type="dcterms:W3CDTF">2015-11-09T02:29:00Z</dcterms:created>
  <dcterms:modified xsi:type="dcterms:W3CDTF">2015-11-16T22:03:00Z</dcterms:modified>
</cp:coreProperties>
</file>