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A6" w:rsidRPr="00D84FD8" w:rsidRDefault="0069461C" w:rsidP="00D84FD8">
      <w:pPr>
        <w:pStyle w:val="Heading5"/>
        <w:spacing w:after="240"/>
        <w:jc w:val="right"/>
        <w:rPr>
          <w:rFonts w:ascii="Century Gothic" w:eastAsia="Calibri" w:hAnsi="Century Gothic" w:cs="Arial"/>
          <w:b w:val="0"/>
          <w:bCs w:val="0"/>
          <w:i w:val="0"/>
          <w:iCs w:val="0"/>
          <w:sz w:val="20"/>
          <w:szCs w:val="20"/>
        </w:rPr>
      </w:pPr>
      <w:bookmarkStart w:id="0" w:name="_GoBack"/>
      <w:bookmarkEnd w:id="0"/>
      <w:r>
        <w:rPr>
          <w:rFonts w:ascii="Century Gothic" w:eastAsia="Calibri" w:hAnsi="Century Gothic" w:cs="Arial"/>
          <w:b w:val="0"/>
          <w:bCs w:val="0"/>
          <w:i w:val="0"/>
          <w:iCs w:val="0"/>
          <w:sz w:val="20"/>
          <w:szCs w:val="20"/>
        </w:rPr>
        <w:t>Thur</w:t>
      </w:r>
      <w:r w:rsidR="00330D1A">
        <w:rPr>
          <w:rFonts w:ascii="Century Gothic" w:eastAsia="Calibri" w:hAnsi="Century Gothic" w:cs="Arial"/>
          <w:b w:val="0"/>
          <w:bCs w:val="0"/>
          <w:i w:val="0"/>
          <w:iCs w:val="0"/>
          <w:sz w:val="20"/>
          <w:szCs w:val="20"/>
        </w:rPr>
        <w:t>s</w:t>
      </w:r>
      <w:r w:rsidR="000B1FFF">
        <w:rPr>
          <w:rFonts w:ascii="Century Gothic" w:eastAsia="Calibri" w:hAnsi="Century Gothic" w:cs="Arial"/>
          <w:b w:val="0"/>
          <w:bCs w:val="0"/>
          <w:i w:val="0"/>
          <w:iCs w:val="0"/>
          <w:sz w:val="20"/>
          <w:szCs w:val="20"/>
        </w:rPr>
        <w:t xml:space="preserve">day, </w:t>
      </w:r>
      <w:r>
        <w:rPr>
          <w:rFonts w:ascii="Century Gothic" w:eastAsia="Calibri" w:hAnsi="Century Gothic" w:cs="Arial"/>
          <w:b w:val="0"/>
          <w:bCs w:val="0"/>
          <w:i w:val="0"/>
          <w:iCs w:val="0"/>
          <w:sz w:val="20"/>
          <w:szCs w:val="20"/>
        </w:rPr>
        <w:t>7</w:t>
      </w:r>
      <w:r w:rsidR="000B1FFF" w:rsidRPr="000B1FFF">
        <w:rPr>
          <w:rFonts w:ascii="Century Gothic" w:eastAsia="Calibri" w:hAnsi="Century Gothic" w:cs="Arial"/>
          <w:b w:val="0"/>
          <w:bCs w:val="0"/>
          <w:i w:val="0"/>
          <w:iCs w:val="0"/>
          <w:sz w:val="20"/>
          <w:szCs w:val="20"/>
          <w:vertAlign w:val="superscript"/>
        </w:rPr>
        <w:t>th</w:t>
      </w:r>
      <w:r w:rsidR="000B1FFF">
        <w:rPr>
          <w:rFonts w:ascii="Century Gothic" w:eastAsia="Calibri" w:hAnsi="Century Gothic" w:cs="Arial"/>
          <w:b w:val="0"/>
          <w:bCs w:val="0"/>
          <w:i w:val="0"/>
          <w:iCs w:val="0"/>
          <w:sz w:val="20"/>
          <w:szCs w:val="20"/>
        </w:rPr>
        <w:t xml:space="preserve"> May</w:t>
      </w:r>
      <w:r w:rsidR="00330D1A">
        <w:rPr>
          <w:rFonts w:ascii="Century Gothic" w:eastAsia="Calibri" w:hAnsi="Century Gothic" w:cs="Arial"/>
          <w:b w:val="0"/>
          <w:bCs w:val="0"/>
          <w:i w:val="0"/>
          <w:iCs w:val="0"/>
          <w:sz w:val="20"/>
          <w:szCs w:val="20"/>
        </w:rPr>
        <w:t xml:space="preserve"> 2018</w:t>
      </w:r>
    </w:p>
    <w:p w:rsidR="00695A6A" w:rsidRPr="000651C5" w:rsidRDefault="001A215E" w:rsidP="00695A6A">
      <w:pPr>
        <w:pStyle w:val="Heading5"/>
        <w:spacing w:before="0" w:after="0"/>
        <w:jc w:val="center"/>
        <w:rPr>
          <w:rFonts w:ascii="Arial" w:hAnsi="Arial" w:cs="Arial"/>
          <w:i w:val="0"/>
          <w:sz w:val="40"/>
          <w:szCs w:val="40"/>
        </w:rPr>
      </w:pPr>
      <w:r>
        <w:rPr>
          <w:rFonts w:ascii="Arial" w:hAnsi="Arial" w:cs="Arial"/>
          <w:i w:val="0"/>
          <w:sz w:val="40"/>
          <w:szCs w:val="40"/>
        </w:rPr>
        <w:t>Review of d</w:t>
      </w:r>
      <w:r w:rsidR="00695A6A">
        <w:rPr>
          <w:rFonts w:ascii="Arial" w:hAnsi="Arial" w:cs="Arial"/>
          <w:i w:val="0"/>
          <w:sz w:val="40"/>
          <w:szCs w:val="40"/>
        </w:rPr>
        <w:t xml:space="preserve">eaths of ACT </w:t>
      </w:r>
      <w:r w:rsidR="00695A6A" w:rsidRPr="000651C5">
        <w:rPr>
          <w:rFonts w:ascii="Arial" w:hAnsi="Arial" w:cs="Arial"/>
          <w:i w:val="0"/>
          <w:sz w:val="40"/>
          <w:szCs w:val="40"/>
        </w:rPr>
        <w:t xml:space="preserve">children and young people </w:t>
      </w:r>
      <w:r w:rsidR="008F40A9">
        <w:rPr>
          <w:rFonts w:ascii="Arial" w:hAnsi="Arial" w:cs="Arial"/>
          <w:i w:val="0"/>
          <w:sz w:val="40"/>
          <w:szCs w:val="40"/>
        </w:rPr>
        <w:t>identifies</w:t>
      </w:r>
      <w:r>
        <w:rPr>
          <w:rFonts w:ascii="Arial" w:hAnsi="Arial" w:cs="Arial"/>
          <w:i w:val="0"/>
          <w:sz w:val="40"/>
          <w:szCs w:val="40"/>
        </w:rPr>
        <w:t xml:space="preserve"> </w:t>
      </w:r>
      <w:r w:rsidR="00CE5CAF">
        <w:rPr>
          <w:rFonts w:ascii="Arial" w:hAnsi="Arial" w:cs="Arial"/>
          <w:i w:val="0"/>
          <w:sz w:val="40"/>
          <w:szCs w:val="40"/>
        </w:rPr>
        <w:t>ongoing</w:t>
      </w:r>
      <w:r>
        <w:rPr>
          <w:rFonts w:ascii="Arial" w:hAnsi="Arial" w:cs="Arial"/>
          <w:i w:val="0"/>
          <w:sz w:val="40"/>
          <w:szCs w:val="40"/>
        </w:rPr>
        <w:t xml:space="preserve"> </w:t>
      </w:r>
      <w:r w:rsidR="008F40A9">
        <w:rPr>
          <w:rFonts w:ascii="Arial" w:hAnsi="Arial" w:cs="Arial"/>
          <w:i w:val="0"/>
          <w:sz w:val="40"/>
          <w:szCs w:val="40"/>
        </w:rPr>
        <w:t>patterns</w:t>
      </w:r>
    </w:p>
    <w:p w:rsidR="00695A6A" w:rsidRPr="008F40A9" w:rsidRDefault="00695A6A" w:rsidP="00695A6A">
      <w:pPr>
        <w:pStyle w:val="Heading5"/>
        <w:spacing w:before="0" w:after="0"/>
        <w:rPr>
          <w:rFonts w:cs="Arial"/>
          <w:b w:val="0"/>
          <w:i w:val="0"/>
          <w:sz w:val="20"/>
          <w:szCs w:val="20"/>
        </w:rPr>
      </w:pPr>
    </w:p>
    <w:p w:rsidR="008F40A9" w:rsidRPr="0001495B" w:rsidRDefault="00695A6A" w:rsidP="0001495B">
      <w:pPr>
        <w:pStyle w:val="Heading5"/>
        <w:spacing w:before="0" w:after="0"/>
        <w:rPr>
          <w:rFonts w:cs="Arial"/>
          <w:b w:val="0"/>
          <w:i w:val="0"/>
          <w:sz w:val="22"/>
          <w:szCs w:val="22"/>
        </w:rPr>
      </w:pPr>
      <w:r w:rsidRPr="0001495B">
        <w:rPr>
          <w:rFonts w:cs="Arial"/>
          <w:b w:val="0"/>
          <w:i w:val="0"/>
          <w:sz w:val="22"/>
          <w:szCs w:val="22"/>
        </w:rPr>
        <w:t>The ACT Children and Young Peopl</w:t>
      </w:r>
      <w:r w:rsidR="00803B9B" w:rsidRPr="0001495B">
        <w:rPr>
          <w:rFonts w:cs="Arial"/>
          <w:b w:val="0"/>
          <w:i w:val="0"/>
          <w:sz w:val="22"/>
          <w:szCs w:val="22"/>
        </w:rPr>
        <w:t>e Death Review Committee’s</w:t>
      </w:r>
      <w:r w:rsidRPr="0001495B">
        <w:rPr>
          <w:rFonts w:cs="Arial"/>
          <w:b w:val="0"/>
          <w:i w:val="0"/>
          <w:sz w:val="22"/>
          <w:szCs w:val="22"/>
        </w:rPr>
        <w:t xml:space="preserve"> </w:t>
      </w:r>
      <w:r w:rsidR="001A215E" w:rsidRPr="0001495B">
        <w:rPr>
          <w:rFonts w:cs="Arial"/>
          <w:b w:val="0"/>
          <w:i w:val="0"/>
          <w:sz w:val="22"/>
          <w:szCs w:val="22"/>
        </w:rPr>
        <w:t>sixth</w:t>
      </w:r>
      <w:r w:rsidRPr="0001495B">
        <w:rPr>
          <w:rFonts w:cs="Arial"/>
          <w:b w:val="0"/>
          <w:i w:val="0"/>
          <w:sz w:val="22"/>
          <w:szCs w:val="22"/>
        </w:rPr>
        <w:t xml:space="preserve"> annual report </w:t>
      </w:r>
      <w:r w:rsidR="00803B9B" w:rsidRPr="0001495B">
        <w:rPr>
          <w:rFonts w:cs="Arial"/>
          <w:b w:val="0"/>
          <w:i w:val="0"/>
          <w:sz w:val="22"/>
          <w:szCs w:val="22"/>
        </w:rPr>
        <w:t xml:space="preserve">was </w:t>
      </w:r>
      <w:r w:rsidRPr="0001495B">
        <w:rPr>
          <w:rFonts w:cs="Arial"/>
          <w:b w:val="0"/>
          <w:i w:val="0"/>
          <w:sz w:val="22"/>
          <w:szCs w:val="22"/>
        </w:rPr>
        <w:t>tabled in the ACT Legislative Assembly</w:t>
      </w:r>
      <w:r w:rsidR="0069461C">
        <w:rPr>
          <w:rFonts w:cs="Arial"/>
          <w:b w:val="0"/>
          <w:i w:val="0"/>
          <w:sz w:val="22"/>
          <w:szCs w:val="22"/>
        </w:rPr>
        <w:t xml:space="preserve"> on</w:t>
      </w:r>
      <w:r w:rsidRPr="0001495B">
        <w:rPr>
          <w:rFonts w:cs="Arial"/>
          <w:b w:val="0"/>
          <w:i w:val="0"/>
          <w:sz w:val="22"/>
          <w:szCs w:val="22"/>
        </w:rPr>
        <w:t xml:space="preserve"> </w:t>
      </w:r>
      <w:r w:rsidR="0069461C">
        <w:rPr>
          <w:rFonts w:cs="Arial"/>
          <w:b w:val="0"/>
          <w:i w:val="0"/>
          <w:sz w:val="22"/>
          <w:szCs w:val="22"/>
        </w:rPr>
        <w:t>Wednes</w:t>
      </w:r>
      <w:r w:rsidRPr="0001495B">
        <w:rPr>
          <w:rFonts w:cs="Arial"/>
          <w:b w:val="0"/>
          <w:i w:val="0"/>
          <w:sz w:val="22"/>
          <w:szCs w:val="22"/>
        </w:rPr>
        <w:t>day by the Minister</w:t>
      </w:r>
      <w:r w:rsidR="002E474A" w:rsidRPr="0001495B">
        <w:rPr>
          <w:rFonts w:cs="Arial"/>
          <w:b w:val="0"/>
          <w:i w:val="0"/>
          <w:sz w:val="22"/>
          <w:szCs w:val="22"/>
        </w:rPr>
        <w:t xml:space="preserve"> for Disability, Children and Youth, Rachel</w:t>
      </w:r>
      <w:r w:rsidR="00862473" w:rsidRPr="0001495B">
        <w:rPr>
          <w:rFonts w:cs="Arial"/>
          <w:b w:val="0"/>
          <w:i w:val="0"/>
          <w:sz w:val="22"/>
          <w:szCs w:val="22"/>
        </w:rPr>
        <w:t xml:space="preserve"> </w:t>
      </w:r>
      <w:r w:rsidR="002E474A" w:rsidRPr="0001495B">
        <w:rPr>
          <w:rFonts w:cs="Arial"/>
          <w:b w:val="0"/>
          <w:i w:val="0"/>
          <w:sz w:val="22"/>
          <w:szCs w:val="22"/>
        </w:rPr>
        <w:t>Stephen-Smith</w:t>
      </w:r>
      <w:r w:rsidRPr="0001495B">
        <w:rPr>
          <w:rFonts w:cs="Arial"/>
          <w:b w:val="0"/>
          <w:i w:val="0"/>
          <w:sz w:val="22"/>
          <w:szCs w:val="22"/>
        </w:rPr>
        <w:t xml:space="preserve">. </w:t>
      </w:r>
    </w:p>
    <w:p w:rsidR="008F40A9" w:rsidRPr="0001495B" w:rsidRDefault="008F40A9" w:rsidP="0001495B">
      <w:pPr>
        <w:pStyle w:val="Heading5"/>
        <w:spacing w:before="0" w:after="0"/>
        <w:rPr>
          <w:rFonts w:cs="Arial"/>
          <w:b w:val="0"/>
          <w:i w:val="0"/>
          <w:sz w:val="22"/>
          <w:szCs w:val="22"/>
        </w:rPr>
      </w:pPr>
    </w:p>
    <w:p w:rsidR="00D8435C" w:rsidRPr="0001495B" w:rsidRDefault="00D8435C" w:rsidP="0001495B">
      <w:pPr>
        <w:pStyle w:val="Heading5"/>
        <w:spacing w:before="0" w:after="0"/>
        <w:rPr>
          <w:rFonts w:cs="Arial"/>
          <w:b w:val="0"/>
          <w:i w:val="0"/>
          <w:sz w:val="22"/>
          <w:szCs w:val="22"/>
        </w:rPr>
      </w:pPr>
      <w:r w:rsidRPr="0001495B">
        <w:rPr>
          <w:rFonts w:cs="Arial"/>
          <w:b w:val="0"/>
          <w:i w:val="0"/>
          <w:sz w:val="22"/>
          <w:szCs w:val="22"/>
        </w:rPr>
        <w:t xml:space="preserve">Committee Chair, </w:t>
      </w:r>
      <w:r w:rsidR="00B80282">
        <w:rPr>
          <w:rFonts w:cs="Arial"/>
          <w:b w:val="0"/>
          <w:i w:val="0"/>
          <w:sz w:val="22"/>
          <w:szCs w:val="22"/>
        </w:rPr>
        <w:t xml:space="preserve">Ms </w:t>
      </w:r>
      <w:r w:rsidRPr="0001495B">
        <w:rPr>
          <w:rFonts w:cs="Arial"/>
          <w:b w:val="0"/>
          <w:i w:val="0"/>
          <w:sz w:val="22"/>
          <w:szCs w:val="22"/>
        </w:rPr>
        <w:t>Margaret Carmody said “the report is based on examinations of deaths of children and young people aged up to 18</w:t>
      </w:r>
      <w:r w:rsidR="0001495B">
        <w:rPr>
          <w:rFonts w:cs="Arial"/>
          <w:b w:val="0"/>
          <w:i w:val="0"/>
          <w:sz w:val="22"/>
          <w:szCs w:val="22"/>
        </w:rPr>
        <w:t>,</w:t>
      </w:r>
      <w:r w:rsidRPr="0001495B">
        <w:rPr>
          <w:rFonts w:cs="Arial"/>
          <w:b w:val="0"/>
          <w:i w:val="0"/>
          <w:sz w:val="22"/>
          <w:szCs w:val="22"/>
        </w:rPr>
        <w:t xml:space="preserve"> over five years including 2017”. </w:t>
      </w:r>
    </w:p>
    <w:p w:rsidR="00D8435C" w:rsidRPr="0001495B" w:rsidRDefault="00D8435C" w:rsidP="0001495B">
      <w:pPr>
        <w:pStyle w:val="Heading5"/>
        <w:spacing w:before="0" w:after="0"/>
        <w:rPr>
          <w:rFonts w:cs="Arial"/>
          <w:b w:val="0"/>
          <w:i w:val="0"/>
          <w:sz w:val="22"/>
          <w:szCs w:val="22"/>
        </w:rPr>
      </w:pPr>
    </w:p>
    <w:p w:rsidR="00D8435C" w:rsidRPr="0001495B" w:rsidRDefault="00D8435C" w:rsidP="0001495B">
      <w:pPr>
        <w:pStyle w:val="Heading5"/>
        <w:spacing w:before="0" w:after="0"/>
        <w:rPr>
          <w:rFonts w:cs="Arial"/>
          <w:b w:val="0"/>
          <w:i w:val="0"/>
          <w:sz w:val="22"/>
          <w:szCs w:val="22"/>
        </w:rPr>
      </w:pPr>
      <w:r w:rsidRPr="0001495B">
        <w:rPr>
          <w:rFonts w:cs="Arial"/>
          <w:b w:val="0"/>
          <w:i w:val="0"/>
          <w:sz w:val="22"/>
          <w:szCs w:val="22"/>
        </w:rPr>
        <w:t>“</w:t>
      </w:r>
      <w:r w:rsidR="008F40A9" w:rsidRPr="0001495B">
        <w:rPr>
          <w:rFonts w:cs="Arial"/>
          <w:b w:val="0"/>
          <w:i w:val="0"/>
          <w:sz w:val="22"/>
          <w:szCs w:val="22"/>
        </w:rPr>
        <w:t>The Committee’s role is to help reduce preventable deaths of children and young people</w:t>
      </w:r>
      <w:r w:rsidR="00AC5802" w:rsidRPr="0001495B">
        <w:rPr>
          <w:rFonts w:cs="Arial"/>
          <w:b w:val="0"/>
          <w:i w:val="0"/>
          <w:sz w:val="22"/>
          <w:szCs w:val="22"/>
        </w:rPr>
        <w:t xml:space="preserve"> </w:t>
      </w:r>
      <w:r w:rsidR="008F40A9" w:rsidRPr="0001495B">
        <w:rPr>
          <w:rFonts w:cs="Arial"/>
          <w:b w:val="0"/>
          <w:i w:val="0"/>
          <w:sz w:val="22"/>
          <w:szCs w:val="22"/>
        </w:rPr>
        <w:t xml:space="preserve">in the ACT by reviewing all deaths of children and young people that occur in the ACT, as well as those deaths of ACT children and young people that occur outside of the ACT. </w:t>
      </w:r>
    </w:p>
    <w:p w:rsidR="00D8435C" w:rsidRPr="0001495B" w:rsidRDefault="00D8435C" w:rsidP="0001495B">
      <w:pPr>
        <w:pStyle w:val="Heading5"/>
        <w:spacing w:before="0" w:after="0"/>
        <w:rPr>
          <w:rFonts w:cs="Arial"/>
          <w:b w:val="0"/>
          <w:i w:val="0"/>
          <w:sz w:val="22"/>
          <w:szCs w:val="22"/>
        </w:rPr>
      </w:pPr>
    </w:p>
    <w:p w:rsidR="008F40A9" w:rsidRPr="0001495B" w:rsidRDefault="00D8435C" w:rsidP="0001495B">
      <w:pPr>
        <w:pStyle w:val="Heading5"/>
        <w:spacing w:before="0" w:after="0"/>
        <w:rPr>
          <w:rFonts w:cs="Arial"/>
          <w:b w:val="0"/>
          <w:i w:val="0"/>
          <w:sz w:val="22"/>
          <w:szCs w:val="22"/>
        </w:rPr>
      </w:pPr>
      <w:r w:rsidRPr="0001495B">
        <w:rPr>
          <w:rFonts w:cs="Arial"/>
          <w:b w:val="0"/>
          <w:i w:val="0"/>
          <w:sz w:val="22"/>
          <w:szCs w:val="22"/>
        </w:rPr>
        <w:t>“</w:t>
      </w:r>
      <w:r w:rsidR="008F40A9" w:rsidRPr="0001495B">
        <w:rPr>
          <w:rFonts w:cs="Arial"/>
          <w:b w:val="0"/>
          <w:i w:val="0"/>
          <w:sz w:val="22"/>
          <w:szCs w:val="22"/>
        </w:rPr>
        <w:t xml:space="preserve">Committee members </w:t>
      </w:r>
      <w:r w:rsidR="00AC5802" w:rsidRPr="0001495B">
        <w:rPr>
          <w:rFonts w:cs="Arial"/>
          <w:b w:val="0"/>
          <w:i w:val="0"/>
          <w:sz w:val="22"/>
          <w:szCs w:val="22"/>
        </w:rPr>
        <w:t>bring</w:t>
      </w:r>
      <w:r w:rsidR="008F40A9" w:rsidRPr="0001495B">
        <w:rPr>
          <w:rFonts w:cs="Arial"/>
          <w:b w:val="0"/>
          <w:i w:val="0"/>
          <w:sz w:val="22"/>
          <w:szCs w:val="22"/>
        </w:rPr>
        <w:t xml:space="preserve"> </w:t>
      </w:r>
      <w:r w:rsidR="00AC5802" w:rsidRPr="0001495B">
        <w:rPr>
          <w:rFonts w:cs="Arial"/>
          <w:b w:val="0"/>
          <w:i w:val="0"/>
          <w:sz w:val="22"/>
          <w:szCs w:val="22"/>
        </w:rPr>
        <w:t>experience in diverse areas</w:t>
      </w:r>
      <w:r w:rsidR="008F40A9" w:rsidRPr="0001495B">
        <w:rPr>
          <w:rFonts w:cs="Arial"/>
          <w:b w:val="0"/>
          <w:i w:val="0"/>
          <w:sz w:val="22"/>
          <w:szCs w:val="22"/>
        </w:rPr>
        <w:t xml:space="preserve"> including paediatrics, education, social work, child safety products and working with Aboriginal and Torres Strait Islander children and young people.</w:t>
      </w:r>
      <w:r w:rsidRPr="0001495B">
        <w:rPr>
          <w:rFonts w:cs="Arial"/>
          <w:b w:val="0"/>
          <w:i w:val="0"/>
          <w:sz w:val="22"/>
          <w:szCs w:val="22"/>
        </w:rPr>
        <w:t>”</w:t>
      </w:r>
    </w:p>
    <w:p w:rsidR="00695A6A" w:rsidRPr="0001495B" w:rsidRDefault="00695A6A" w:rsidP="0001495B">
      <w:pPr>
        <w:spacing w:after="0" w:line="240" w:lineRule="auto"/>
      </w:pPr>
    </w:p>
    <w:p w:rsidR="00A549CE" w:rsidRDefault="00A549CE" w:rsidP="0001495B">
      <w:pPr>
        <w:pStyle w:val="Heading5"/>
        <w:spacing w:before="0" w:after="0"/>
        <w:rPr>
          <w:rFonts w:cs="Arial"/>
          <w:b w:val="0"/>
          <w:i w:val="0"/>
          <w:sz w:val="22"/>
          <w:szCs w:val="22"/>
        </w:rPr>
      </w:pPr>
      <w:r w:rsidRPr="0001495B">
        <w:rPr>
          <w:rFonts w:cs="Arial"/>
          <w:b w:val="0"/>
          <w:i w:val="0"/>
          <w:sz w:val="22"/>
          <w:szCs w:val="22"/>
        </w:rPr>
        <w:t xml:space="preserve">The 2017 Annual Report examines the deaths of 159 children and young people in the ACT in the five-year period between January 2013 and December 2017. The </w:t>
      </w:r>
      <w:r w:rsidR="002767A4">
        <w:rPr>
          <w:rFonts w:cs="Arial"/>
          <w:b w:val="0"/>
          <w:i w:val="0"/>
          <w:sz w:val="22"/>
          <w:szCs w:val="22"/>
        </w:rPr>
        <w:t xml:space="preserve">majority of </w:t>
      </w:r>
      <w:r w:rsidRPr="0001495B">
        <w:rPr>
          <w:rFonts w:cs="Arial"/>
          <w:b w:val="0"/>
          <w:i w:val="0"/>
          <w:sz w:val="22"/>
          <w:szCs w:val="22"/>
        </w:rPr>
        <w:t xml:space="preserve">deaths were attributed to </w:t>
      </w:r>
      <w:r w:rsidR="00B80282">
        <w:rPr>
          <w:rFonts w:cs="Arial"/>
          <w:b w:val="0"/>
          <w:i w:val="0"/>
          <w:sz w:val="22"/>
          <w:szCs w:val="22"/>
        </w:rPr>
        <w:t>medical causes and</w:t>
      </w:r>
      <w:r w:rsidRPr="0001495B">
        <w:rPr>
          <w:rFonts w:cs="Arial"/>
          <w:b w:val="0"/>
          <w:i w:val="0"/>
          <w:sz w:val="22"/>
          <w:szCs w:val="22"/>
        </w:rPr>
        <w:t xml:space="preserve"> </w:t>
      </w:r>
      <w:r w:rsidR="00B80282">
        <w:rPr>
          <w:rFonts w:cs="Arial"/>
          <w:b w:val="0"/>
          <w:i w:val="0"/>
          <w:sz w:val="22"/>
          <w:szCs w:val="22"/>
        </w:rPr>
        <w:t>extreme prematurity</w:t>
      </w:r>
      <w:r w:rsidRPr="0001495B">
        <w:rPr>
          <w:rFonts w:cs="Arial"/>
          <w:b w:val="0"/>
          <w:i w:val="0"/>
          <w:sz w:val="22"/>
          <w:szCs w:val="22"/>
        </w:rPr>
        <w:t xml:space="preserve">. </w:t>
      </w:r>
      <w:r w:rsidR="00E83524" w:rsidRPr="00E83524">
        <w:rPr>
          <w:rFonts w:cs="Arial"/>
          <w:b w:val="0"/>
          <w:i w:val="0"/>
          <w:sz w:val="22"/>
          <w:szCs w:val="22"/>
        </w:rPr>
        <w:t xml:space="preserve">The report highlights that younger children are the most vulnerable. </w:t>
      </w:r>
      <w:r w:rsidR="00394A2F" w:rsidRPr="0001495B">
        <w:rPr>
          <w:rFonts w:cs="Arial"/>
          <w:b w:val="0"/>
          <w:i w:val="0"/>
          <w:sz w:val="22"/>
          <w:szCs w:val="22"/>
        </w:rPr>
        <w:t xml:space="preserve">Seventy per cent of the total number of deaths were </w:t>
      </w:r>
      <w:r w:rsidR="00394A2F">
        <w:rPr>
          <w:rFonts w:cs="Arial"/>
          <w:b w:val="0"/>
          <w:i w:val="0"/>
          <w:sz w:val="22"/>
          <w:szCs w:val="22"/>
        </w:rPr>
        <w:t>children under one year of age.</w:t>
      </w:r>
    </w:p>
    <w:p w:rsidR="00394A2F" w:rsidRDefault="00394A2F" w:rsidP="0001495B">
      <w:pPr>
        <w:pStyle w:val="Heading5"/>
        <w:spacing w:before="0" w:after="0"/>
        <w:rPr>
          <w:rFonts w:cs="Arial"/>
          <w:b w:val="0"/>
          <w:i w:val="0"/>
          <w:sz w:val="22"/>
          <w:szCs w:val="22"/>
        </w:rPr>
      </w:pPr>
    </w:p>
    <w:p w:rsidR="00A549CE" w:rsidRPr="0001495B" w:rsidRDefault="00A549CE" w:rsidP="0001495B">
      <w:pPr>
        <w:pStyle w:val="Heading5"/>
        <w:spacing w:before="0" w:after="0"/>
        <w:rPr>
          <w:rFonts w:cs="Arial"/>
          <w:b w:val="0"/>
          <w:i w:val="0"/>
          <w:sz w:val="22"/>
          <w:szCs w:val="22"/>
        </w:rPr>
      </w:pPr>
      <w:r w:rsidRPr="0001495B">
        <w:rPr>
          <w:rFonts w:cs="Arial"/>
          <w:b w:val="0"/>
          <w:i w:val="0"/>
          <w:sz w:val="22"/>
          <w:szCs w:val="22"/>
        </w:rPr>
        <w:t>“Of the 159 deaths, 36 were of children and young people who did</w:t>
      </w:r>
      <w:r w:rsidR="00394A2F">
        <w:rPr>
          <w:rFonts w:cs="Arial"/>
          <w:b w:val="0"/>
          <w:i w:val="0"/>
          <w:sz w:val="22"/>
          <w:szCs w:val="22"/>
        </w:rPr>
        <w:t xml:space="preserve"> not normally reside in the ACT,</w:t>
      </w:r>
    </w:p>
    <w:p w:rsidR="00695A6A" w:rsidRPr="0001495B" w:rsidRDefault="00A549CE" w:rsidP="0001495B">
      <w:pPr>
        <w:pStyle w:val="Heading5"/>
        <w:spacing w:before="0" w:after="0"/>
        <w:rPr>
          <w:rFonts w:cs="Arial"/>
          <w:b w:val="0"/>
          <w:i w:val="0"/>
          <w:sz w:val="22"/>
          <w:szCs w:val="22"/>
        </w:rPr>
      </w:pPr>
      <w:r w:rsidRPr="0001495B">
        <w:rPr>
          <w:rFonts w:cs="Arial"/>
          <w:b w:val="0"/>
          <w:i w:val="0"/>
          <w:sz w:val="22"/>
          <w:szCs w:val="22"/>
        </w:rPr>
        <w:t>11 per cent wer</w:t>
      </w:r>
      <w:r w:rsidR="00E83524">
        <w:rPr>
          <w:rFonts w:cs="Arial"/>
          <w:b w:val="0"/>
          <w:i w:val="0"/>
          <w:sz w:val="22"/>
          <w:szCs w:val="22"/>
        </w:rPr>
        <w:t xml:space="preserve">e young people aged 15-17 years and </w:t>
      </w:r>
      <w:r w:rsidR="00394A2F">
        <w:rPr>
          <w:rFonts w:cs="Arial"/>
          <w:b w:val="0"/>
          <w:i w:val="0"/>
          <w:sz w:val="22"/>
          <w:szCs w:val="22"/>
        </w:rPr>
        <w:t>3.8 per cent</w:t>
      </w:r>
      <w:r w:rsidRPr="0001495B">
        <w:rPr>
          <w:rFonts w:cs="Arial"/>
          <w:b w:val="0"/>
          <w:i w:val="0"/>
          <w:sz w:val="22"/>
          <w:szCs w:val="22"/>
        </w:rPr>
        <w:t xml:space="preserve"> were Aboriginal or Torres Strait Islander children or young people.</w:t>
      </w:r>
      <w:r w:rsidR="0089701A">
        <w:rPr>
          <w:rFonts w:cs="Arial"/>
          <w:b w:val="0"/>
          <w:i w:val="0"/>
          <w:sz w:val="22"/>
          <w:szCs w:val="22"/>
        </w:rPr>
        <w:t>”</w:t>
      </w:r>
    </w:p>
    <w:p w:rsidR="009E43D9" w:rsidRPr="0001495B" w:rsidRDefault="009E43D9" w:rsidP="0001495B">
      <w:pPr>
        <w:spacing w:after="0" w:line="240" w:lineRule="auto"/>
        <w:rPr>
          <w:rFonts w:cs="Arial"/>
        </w:rPr>
      </w:pPr>
    </w:p>
    <w:p w:rsidR="00B54FB5" w:rsidRDefault="00394A2F" w:rsidP="0001495B">
      <w:pPr>
        <w:spacing w:after="0" w:line="240" w:lineRule="auto"/>
        <w:rPr>
          <w:rFonts w:cs="Arial"/>
        </w:rPr>
      </w:pPr>
      <w:r w:rsidRPr="00E83524">
        <w:rPr>
          <w:rFonts w:cs="Arial"/>
        </w:rPr>
        <w:t>Ms Carmody said that “the who</w:t>
      </w:r>
      <w:r w:rsidR="00B54FB5">
        <w:rPr>
          <w:rFonts w:cs="Arial"/>
        </w:rPr>
        <w:t>le community has a role to play to support</w:t>
      </w:r>
      <w:r w:rsidR="00B54FB5" w:rsidRPr="00E83524">
        <w:rPr>
          <w:rFonts w:cs="Arial"/>
        </w:rPr>
        <w:t xml:space="preserve"> </w:t>
      </w:r>
      <w:r w:rsidR="00B54FB5">
        <w:rPr>
          <w:rFonts w:cs="Arial"/>
        </w:rPr>
        <w:t xml:space="preserve">children and young people, </w:t>
      </w:r>
      <w:r w:rsidRPr="00E83524">
        <w:rPr>
          <w:rFonts w:cs="Arial"/>
        </w:rPr>
        <w:t xml:space="preserve">and I would encourage </w:t>
      </w:r>
      <w:r w:rsidR="00B54FB5">
        <w:rPr>
          <w:rFonts w:cs="Arial"/>
        </w:rPr>
        <w:t>the ACT community</w:t>
      </w:r>
      <w:r w:rsidRPr="00E83524">
        <w:rPr>
          <w:rFonts w:cs="Arial"/>
        </w:rPr>
        <w:t xml:space="preserve"> to consider </w:t>
      </w:r>
      <w:r>
        <w:rPr>
          <w:rFonts w:cs="Arial"/>
        </w:rPr>
        <w:t xml:space="preserve">how they </w:t>
      </w:r>
      <w:r w:rsidR="00B54FB5">
        <w:rPr>
          <w:rFonts w:cs="Arial"/>
        </w:rPr>
        <w:t>will make</w:t>
      </w:r>
      <w:r>
        <w:rPr>
          <w:rFonts w:cs="Arial"/>
        </w:rPr>
        <w:t xml:space="preserve"> </w:t>
      </w:r>
      <w:r w:rsidR="00B54FB5">
        <w:rPr>
          <w:rFonts w:cs="Arial"/>
        </w:rPr>
        <w:t>children and young people a priority</w:t>
      </w:r>
      <w:r w:rsidRPr="00E83524">
        <w:rPr>
          <w:rFonts w:cs="Arial"/>
        </w:rPr>
        <w:t>.</w:t>
      </w:r>
      <w:r w:rsidR="00B54FB5">
        <w:rPr>
          <w:rFonts w:cs="Arial"/>
        </w:rPr>
        <w:t>”</w:t>
      </w:r>
    </w:p>
    <w:p w:rsidR="00B54FB5" w:rsidRDefault="00B54FB5" w:rsidP="0001495B">
      <w:pPr>
        <w:spacing w:after="0" w:line="240" w:lineRule="auto"/>
        <w:rPr>
          <w:rFonts w:cs="Arial"/>
        </w:rPr>
      </w:pPr>
    </w:p>
    <w:p w:rsidR="00695A6A" w:rsidRPr="0001495B" w:rsidRDefault="00B54FB5" w:rsidP="0001495B">
      <w:pPr>
        <w:spacing w:after="0" w:line="240" w:lineRule="auto"/>
        <w:rPr>
          <w:rFonts w:cs="Arial"/>
        </w:rPr>
      </w:pPr>
      <w:r w:rsidRPr="00B54FB5">
        <w:rPr>
          <w:rFonts w:cs="Arial"/>
        </w:rPr>
        <w:t>The death of every child or young person is a tragedy</w:t>
      </w:r>
      <w:r>
        <w:rPr>
          <w:rFonts w:cs="Arial"/>
        </w:rPr>
        <w:t xml:space="preserve"> and the Committee will continue to work at reducing the number of preventable deaths in the ACT. </w:t>
      </w:r>
      <w:r w:rsidR="00621610" w:rsidRPr="0001495B">
        <w:rPr>
          <w:rFonts w:cs="Arial"/>
        </w:rPr>
        <w:t>Th</w:t>
      </w:r>
      <w:r w:rsidR="00B80282">
        <w:rPr>
          <w:rFonts w:cs="Arial"/>
        </w:rPr>
        <w:t xml:space="preserve">e Committee </w:t>
      </w:r>
      <w:r w:rsidR="00621610" w:rsidRPr="0001495B">
        <w:rPr>
          <w:rFonts w:cs="Arial"/>
        </w:rPr>
        <w:t xml:space="preserve">highlights the importance of </w:t>
      </w:r>
      <w:r w:rsidR="00B80282">
        <w:rPr>
          <w:rFonts w:cs="Arial"/>
        </w:rPr>
        <w:t>accessing</w:t>
      </w:r>
      <w:r w:rsidR="00621610" w:rsidRPr="0001495B">
        <w:rPr>
          <w:rFonts w:cs="Arial"/>
        </w:rPr>
        <w:t xml:space="preserve"> antenatal care, safe sleeping, locking pool gates, and keep</w:t>
      </w:r>
      <w:r w:rsidR="002767A4">
        <w:rPr>
          <w:rFonts w:cs="Arial"/>
        </w:rPr>
        <w:t>ing choking hazards such as small</w:t>
      </w:r>
      <w:r w:rsidR="002767A4" w:rsidRPr="0001495B">
        <w:rPr>
          <w:rFonts w:cs="Arial"/>
        </w:rPr>
        <w:t xml:space="preserve"> </w:t>
      </w:r>
      <w:r w:rsidR="00621610" w:rsidRPr="0001495B">
        <w:rPr>
          <w:rFonts w:cs="Arial"/>
        </w:rPr>
        <w:t xml:space="preserve">batteries out of reach </w:t>
      </w:r>
      <w:r w:rsidR="0001495B" w:rsidRPr="0001495B">
        <w:rPr>
          <w:rFonts w:cs="Arial"/>
        </w:rPr>
        <w:t>of young children</w:t>
      </w:r>
      <w:r w:rsidR="00621610" w:rsidRPr="0001495B">
        <w:rPr>
          <w:rFonts w:cs="Arial"/>
        </w:rPr>
        <w:t>.</w:t>
      </w:r>
      <w:r w:rsidR="0001495B">
        <w:rPr>
          <w:rFonts w:cs="Arial"/>
        </w:rPr>
        <w:t xml:space="preserve"> </w:t>
      </w:r>
      <w:r w:rsidR="0082295E" w:rsidRPr="0001495B">
        <w:rPr>
          <w:rFonts w:cs="Arial"/>
        </w:rPr>
        <w:t xml:space="preserve">The Committee will continue to </w:t>
      </w:r>
      <w:r w:rsidR="002A59DB" w:rsidRPr="0001495B">
        <w:rPr>
          <w:rFonts w:cs="Arial"/>
        </w:rPr>
        <w:t>identify areas that</w:t>
      </w:r>
      <w:r w:rsidR="0082295E" w:rsidRPr="0001495B">
        <w:rPr>
          <w:rFonts w:cs="Arial"/>
        </w:rPr>
        <w:t xml:space="preserve"> </w:t>
      </w:r>
      <w:r w:rsidR="002A59DB" w:rsidRPr="0001495B">
        <w:rPr>
          <w:rFonts w:cs="Arial"/>
        </w:rPr>
        <w:t xml:space="preserve">can be improved </w:t>
      </w:r>
      <w:r w:rsidR="00621610" w:rsidRPr="0001495B">
        <w:rPr>
          <w:rFonts w:cs="Arial"/>
        </w:rPr>
        <w:t xml:space="preserve">to avoid preventable deaths” </w:t>
      </w:r>
      <w:r w:rsidR="00221435" w:rsidRPr="0001495B">
        <w:rPr>
          <w:rFonts w:cs="Arial"/>
        </w:rPr>
        <w:t xml:space="preserve">Ms </w:t>
      </w:r>
      <w:r w:rsidR="0082295E" w:rsidRPr="0001495B">
        <w:rPr>
          <w:rFonts w:cs="Arial"/>
        </w:rPr>
        <w:t>Carmody</w:t>
      </w:r>
      <w:r w:rsidR="00695A6A" w:rsidRPr="0001495B">
        <w:rPr>
          <w:rFonts w:cs="Arial"/>
        </w:rPr>
        <w:t xml:space="preserve"> </w:t>
      </w:r>
      <w:r w:rsidR="00621610" w:rsidRPr="0001495B">
        <w:rPr>
          <w:rFonts w:cs="Arial"/>
        </w:rPr>
        <w:t>said</w:t>
      </w:r>
    </w:p>
    <w:p w:rsidR="00695A6A" w:rsidRPr="0001495B" w:rsidRDefault="00695A6A" w:rsidP="0001495B">
      <w:pPr>
        <w:pStyle w:val="ListParagraph"/>
        <w:spacing w:after="0"/>
        <w:ind w:left="0"/>
        <w:rPr>
          <w:rFonts w:cs="Arial"/>
          <w:sz w:val="22"/>
          <w:szCs w:val="22"/>
        </w:rPr>
      </w:pPr>
    </w:p>
    <w:p w:rsidR="00695A6A" w:rsidRPr="0001495B" w:rsidRDefault="00221435" w:rsidP="0001495B">
      <w:pPr>
        <w:pStyle w:val="ListParagraph"/>
        <w:spacing w:after="0"/>
        <w:ind w:left="0"/>
        <w:rPr>
          <w:rFonts w:cs="Arial"/>
          <w:sz w:val="22"/>
          <w:szCs w:val="22"/>
        </w:rPr>
      </w:pPr>
      <w:r w:rsidRPr="0001495B">
        <w:rPr>
          <w:rFonts w:cs="Arial"/>
          <w:sz w:val="22"/>
          <w:szCs w:val="22"/>
        </w:rPr>
        <w:t>T</w:t>
      </w:r>
      <w:r w:rsidR="00695A6A" w:rsidRPr="0001495B">
        <w:rPr>
          <w:rFonts w:cs="Arial"/>
          <w:sz w:val="22"/>
          <w:szCs w:val="22"/>
        </w:rPr>
        <w:t xml:space="preserve">he annual report </w:t>
      </w:r>
      <w:r w:rsidR="00621610" w:rsidRPr="0001495B">
        <w:rPr>
          <w:rFonts w:cs="Arial"/>
          <w:sz w:val="22"/>
          <w:szCs w:val="22"/>
        </w:rPr>
        <w:t xml:space="preserve">is </w:t>
      </w:r>
      <w:r w:rsidR="00695A6A" w:rsidRPr="0001495B">
        <w:rPr>
          <w:rFonts w:cs="Arial"/>
          <w:sz w:val="22"/>
          <w:szCs w:val="22"/>
        </w:rPr>
        <w:t xml:space="preserve">on the Committee’s website at </w:t>
      </w:r>
      <w:hyperlink r:id="rId7" w:history="1">
        <w:r w:rsidR="00695A6A" w:rsidRPr="0001495B">
          <w:rPr>
            <w:rStyle w:val="Hyperlink"/>
            <w:rFonts w:cs="Arial"/>
            <w:sz w:val="22"/>
            <w:szCs w:val="22"/>
          </w:rPr>
          <w:t>www.childdeathcommittee.act.gov.au</w:t>
        </w:r>
      </w:hyperlink>
      <w:r w:rsidR="00695A6A" w:rsidRPr="0001495B">
        <w:rPr>
          <w:rFonts w:cs="Arial"/>
          <w:sz w:val="22"/>
          <w:szCs w:val="22"/>
        </w:rPr>
        <w:t xml:space="preserve">. </w:t>
      </w:r>
    </w:p>
    <w:sectPr w:rsidR="00695A6A" w:rsidRPr="0001495B" w:rsidSect="003A2349">
      <w:headerReference w:type="default" r:id="rId8"/>
      <w:footerReference w:type="default" r:id="rId9"/>
      <w:headerReference w:type="first" r:id="rId10"/>
      <w:footerReference w:type="first" r:id="rId11"/>
      <w:pgSz w:w="11906" w:h="16838"/>
      <w:pgMar w:top="1030" w:right="1440" w:bottom="1134" w:left="1440" w:header="567"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E69" w:rsidRDefault="00B55E69" w:rsidP="002D75ED">
      <w:pPr>
        <w:spacing w:after="0" w:line="240" w:lineRule="auto"/>
      </w:pPr>
      <w:r>
        <w:separator/>
      </w:r>
    </w:p>
  </w:endnote>
  <w:endnote w:type="continuationSeparator" w:id="0">
    <w:p w:rsidR="00B55E69" w:rsidRDefault="00B55E69" w:rsidP="002D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21" w:rsidRDefault="00697C21">
    <w:pPr>
      <w:pStyle w:val="Footer"/>
    </w:pPr>
    <w:r>
      <w:t xml:space="preserve">Media Contact for Interviews and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1" w:type="dxa"/>
      <w:jc w:val="center"/>
      <w:tblLayout w:type="fixed"/>
      <w:tblLook w:val="04A0" w:firstRow="1" w:lastRow="0" w:firstColumn="1" w:lastColumn="0" w:noHBand="0" w:noVBand="1"/>
    </w:tblPr>
    <w:tblGrid>
      <w:gridCol w:w="1077"/>
      <w:gridCol w:w="2405"/>
      <w:gridCol w:w="2693"/>
      <w:gridCol w:w="3576"/>
    </w:tblGrid>
    <w:tr w:rsidR="00697C21" w:rsidRPr="00C31761" w:rsidTr="00325856">
      <w:trPr>
        <w:trHeight w:val="389"/>
        <w:jc w:val="center"/>
      </w:trPr>
      <w:tc>
        <w:tcPr>
          <w:tcW w:w="1077" w:type="dxa"/>
        </w:tcPr>
        <w:p w:rsidR="00697C21" w:rsidRPr="00C31761" w:rsidRDefault="00697C21" w:rsidP="002514F6">
          <w:pPr>
            <w:pStyle w:val="Footer"/>
            <w:rPr>
              <w:rFonts w:ascii="Century Gothic" w:hAnsi="Century Gothic"/>
              <w:b/>
              <w:bCs/>
              <w:sz w:val="18"/>
              <w:szCs w:val="18"/>
            </w:rPr>
          </w:pPr>
          <w:r w:rsidRPr="00C31761">
            <w:rPr>
              <w:rFonts w:ascii="Century Gothic" w:hAnsi="Century Gothic"/>
              <w:b/>
              <w:bCs/>
              <w:sz w:val="18"/>
              <w:szCs w:val="18"/>
            </w:rPr>
            <w:t>Media Contact:</w:t>
          </w:r>
        </w:p>
      </w:tc>
      <w:tc>
        <w:tcPr>
          <w:tcW w:w="2405" w:type="dxa"/>
          <w:vAlign w:val="bottom"/>
        </w:tcPr>
        <w:p w:rsidR="00697C21" w:rsidRPr="00C31761" w:rsidRDefault="00697C21" w:rsidP="00C31761">
          <w:pPr>
            <w:pStyle w:val="Footer"/>
            <w:rPr>
              <w:rFonts w:ascii="Century Gothic" w:hAnsi="Century Gothic"/>
              <w:bCs/>
              <w:iCs/>
              <w:sz w:val="18"/>
              <w:szCs w:val="18"/>
            </w:rPr>
          </w:pPr>
          <w:r>
            <w:rPr>
              <w:rFonts w:ascii="Century Gothic" w:hAnsi="Century Gothic"/>
              <w:bCs/>
              <w:iCs/>
              <w:sz w:val="18"/>
              <w:szCs w:val="18"/>
            </w:rPr>
            <w:t>Vicky Saunders</w:t>
          </w:r>
        </w:p>
      </w:tc>
      <w:tc>
        <w:tcPr>
          <w:tcW w:w="2693" w:type="dxa"/>
          <w:vAlign w:val="bottom"/>
        </w:tcPr>
        <w:p w:rsidR="00697C21" w:rsidRPr="00C31761" w:rsidRDefault="00697C21" w:rsidP="00C31761">
          <w:pPr>
            <w:pStyle w:val="Footer"/>
            <w:rPr>
              <w:rFonts w:ascii="Century Gothic" w:hAnsi="Century Gothic"/>
              <w:bCs/>
              <w:sz w:val="18"/>
              <w:szCs w:val="18"/>
            </w:rPr>
          </w:pPr>
          <w:r w:rsidRPr="00C31761">
            <w:rPr>
              <w:rFonts w:ascii="Century Gothic" w:hAnsi="Century Gothic"/>
              <w:bCs/>
              <w:sz w:val="18"/>
              <w:szCs w:val="18"/>
            </w:rPr>
            <w:t>Ph: 02 620</w:t>
          </w:r>
          <w:r>
            <w:rPr>
              <w:rFonts w:ascii="Century Gothic" w:hAnsi="Century Gothic"/>
              <w:bCs/>
              <w:sz w:val="18"/>
              <w:szCs w:val="18"/>
            </w:rPr>
            <w:t>5 2949</w:t>
          </w:r>
        </w:p>
      </w:tc>
      <w:tc>
        <w:tcPr>
          <w:tcW w:w="3576" w:type="dxa"/>
          <w:vAlign w:val="bottom"/>
        </w:tcPr>
        <w:p w:rsidR="00697C21" w:rsidRPr="00325856" w:rsidRDefault="00B015E2" w:rsidP="00C31761">
          <w:pPr>
            <w:pStyle w:val="Footer"/>
            <w:rPr>
              <w:rFonts w:ascii="Century Gothic" w:hAnsi="Century Gothic"/>
              <w:bCs/>
              <w:color w:val="1F497D" w:themeColor="text2"/>
              <w:sz w:val="18"/>
              <w:szCs w:val="18"/>
            </w:rPr>
          </w:pPr>
          <w:hyperlink r:id="rId1" w:history="1">
            <w:r w:rsidR="00697C21" w:rsidRPr="00325856">
              <w:rPr>
                <w:rStyle w:val="Hyperlink"/>
                <w:rFonts w:ascii="Century Gothic" w:hAnsi="Century Gothic"/>
                <w:bCs/>
                <w:color w:val="1F497D" w:themeColor="text2"/>
                <w:sz w:val="18"/>
                <w:szCs w:val="18"/>
              </w:rPr>
              <w:t>childdeathreview@act.gov.au</w:t>
            </w:r>
          </w:hyperlink>
          <w:r w:rsidR="00697C21" w:rsidRPr="00325856">
            <w:rPr>
              <w:rFonts w:ascii="Century Gothic" w:hAnsi="Century Gothic"/>
              <w:bCs/>
              <w:color w:val="1F497D" w:themeColor="text2"/>
              <w:sz w:val="18"/>
              <w:szCs w:val="18"/>
            </w:rPr>
            <w:t xml:space="preserve"> </w:t>
          </w:r>
        </w:p>
      </w:tc>
    </w:tr>
  </w:tbl>
  <w:p w:rsidR="00697C21" w:rsidRPr="00C31761" w:rsidRDefault="00697C21" w:rsidP="002514F6">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E69" w:rsidRDefault="00B55E69" w:rsidP="002D75ED">
      <w:pPr>
        <w:spacing w:after="0" w:line="240" w:lineRule="auto"/>
      </w:pPr>
      <w:r>
        <w:separator/>
      </w:r>
    </w:p>
  </w:footnote>
  <w:footnote w:type="continuationSeparator" w:id="0">
    <w:p w:rsidR="00B55E69" w:rsidRDefault="00B55E69" w:rsidP="002D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21" w:rsidRPr="00D84FD8" w:rsidRDefault="00697C21" w:rsidP="00D84FD8">
    <w:pPr>
      <w:rPr>
        <w:rFonts w:ascii="Century Gothic" w:hAnsi="Century Gothic"/>
        <w:sz w:val="52"/>
        <w:szCs w:val="52"/>
      </w:rPr>
    </w:pPr>
    <w:r w:rsidRPr="002D75ED">
      <w:rPr>
        <w:rFonts w:ascii="Century Gothic" w:hAnsi="Century Gothic"/>
        <w:noProof/>
        <w:lang w:eastAsia="en-AU"/>
      </w:rPr>
      <w:drawing>
        <wp:anchor distT="0" distB="0" distL="114300" distR="114300" simplePos="0" relativeHeight="251656704" behindDoc="0" locked="0" layoutInCell="1" allowOverlap="1">
          <wp:simplePos x="0" y="0"/>
          <wp:positionH relativeFrom="column">
            <wp:posOffset>1962150</wp:posOffset>
          </wp:positionH>
          <wp:positionV relativeFrom="paragraph">
            <wp:posOffset>-123825</wp:posOffset>
          </wp:positionV>
          <wp:extent cx="4029075" cy="1038225"/>
          <wp:effectExtent l="19050" t="0" r="9525" b="0"/>
          <wp:wrapSquare wrapText="bothSides"/>
          <wp:docPr id="2" name="Picture 1" descr="C:\Users\Barbara Harrop\AppData\Local\Microsoft\Windows\Temporary Internet Files\Content.Outlook\D866AIS5\CSD_DR_proof 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a:stretch>
                    <a:fillRect/>
                  </a:stretch>
                </pic:blipFill>
                <pic:spPr bwMode="auto">
                  <a:xfrm>
                    <a:off x="0" y="0"/>
                    <a:ext cx="4029075" cy="1038225"/>
                  </a:xfrm>
                  <a:prstGeom prst="rect">
                    <a:avLst/>
                  </a:prstGeom>
                  <a:noFill/>
                  <a:ln w="9525">
                    <a:noFill/>
                    <a:miter lim="800000"/>
                    <a:headEnd/>
                    <a:tailEnd/>
                  </a:ln>
                </pic:spPr>
              </pic:pic>
            </a:graphicData>
          </a:graphic>
        </wp:anchor>
      </w:drawing>
    </w:r>
    <w:r w:rsidRPr="002D75ED">
      <w:rPr>
        <w:rFonts w:ascii="Century Gothic" w:hAnsi="Century Gothic"/>
        <w:sz w:val="52"/>
        <w:szCs w:val="52"/>
      </w:rPr>
      <w:t>Media</w:t>
    </w:r>
    <w:r>
      <w:rPr>
        <w:rFonts w:ascii="Century Gothic" w:hAnsi="Century Gothic"/>
        <w:sz w:val="52"/>
        <w:szCs w:val="52"/>
      </w:rPr>
      <w:br/>
    </w:r>
    <w:r w:rsidRPr="002D75ED">
      <w:rPr>
        <w:rFonts w:ascii="Century Gothic" w:hAnsi="Century Gothic"/>
        <w:sz w:val="52"/>
        <w:szCs w:val="52"/>
      </w:rPr>
      <w:t>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21" w:rsidRPr="00D84FD8" w:rsidRDefault="00697C21" w:rsidP="00D84FD8">
    <w:pPr>
      <w:rPr>
        <w:rFonts w:ascii="Century Gothic" w:hAnsi="Century Gothic"/>
        <w:sz w:val="52"/>
        <w:szCs w:val="52"/>
      </w:rPr>
    </w:pPr>
    <w:r w:rsidRPr="002D75ED">
      <w:rPr>
        <w:rFonts w:ascii="Century Gothic" w:hAnsi="Century Gothic"/>
        <w:noProof/>
        <w:lang w:eastAsia="en-AU"/>
      </w:rPr>
      <w:drawing>
        <wp:anchor distT="0" distB="0" distL="114300" distR="114300" simplePos="0" relativeHeight="251657728" behindDoc="0" locked="0" layoutInCell="1" allowOverlap="1">
          <wp:simplePos x="0" y="0"/>
          <wp:positionH relativeFrom="column">
            <wp:posOffset>1962150</wp:posOffset>
          </wp:positionH>
          <wp:positionV relativeFrom="paragraph">
            <wp:posOffset>-123825</wp:posOffset>
          </wp:positionV>
          <wp:extent cx="4029075" cy="1038225"/>
          <wp:effectExtent l="19050" t="0" r="9525" b="0"/>
          <wp:wrapSquare wrapText="bothSides"/>
          <wp:docPr id="3" name="Picture 1" descr="C:\Users\Barbara Harrop\AppData\Local\Microsoft\Windows\Temporary Internet Files\Content.Outlook\D866AIS5\CSD_DR_proof 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a:stretch>
                    <a:fillRect/>
                  </a:stretch>
                </pic:blipFill>
                <pic:spPr bwMode="auto">
                  <a:xfrm>
                    <a:off x="0" y="0"/>
                    <a:ext cx="4029075" cy="1038225"/>
                  </a:xfrm>
                  <a:prstGeom prst="rect">
                    <a:avLst/>
                  </a:prstGeom>
                  <a:noFill/>
                  <a:ln w="9525">
                    <a:noFill/>
                    <a:miter lim="800000"/>
                    <a:headEnd/>
                    <a:tailEnd/>
                  </a:ln>
                </pic:spPr>
              </pic:pic>
            </a:graphicData>
          </a:graphic>
        </wp:anchor>
      </w:drawing>
    </w:r>
    <w:r w:rsidRPr="002D75ED">
      <w:rPr>
        <w:rFonts w:ascii="Century Gothic" w:hAnsi="Century Gothic"/>
        <w:sz w:val="52"/>
        <w:szCs w:val="52"/>
      </w:rPr>
      <w:t xml:space="preserve">Media </w:t>
    </w:r>
    <w:r>
      <w:rPr>
        <w:rFonts w:ascii="Century Gothic" w:hAnsi="Century Gothic"/>
        <w:sz w:val="52"/>
        <w:szCs w:val="52"/>
      </w:rPr>
      <w:br/>
    </w:r>
    <w:r w:rsidRPr="002D75ED">
      <w:rPr>
        <w:rFonts w:ascii="Century Gothic" w:hAnsi="Century Gothic"/>
        <w:sz w:val="52"/>
        <w:szCs w:val="52"/>
      </w:rPr>
      <w:t>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42AC"/>
    <w:multiLevelType w:val="hybridMultilevel"/>
    <w:tmpl w:val="2AC8B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038A6"/>
    <w:multiLevelType w:val="hybridMultilevel"/>
    <w:tmpl w:val="3B3010B6"/>
    <w:lvl w:ilvl="0" w:tplc="BC766F38">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EE2372"/>
    <w:multiLevelType w:val="hybridMultilevel"/>
    <w:tmpl w:val="26A02C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6CA1209F"/>
    <w:multiLevelType w:val="hybridMultilevel"/>
    <w:tmpl w:val="082CCC08"/>
    <w:lvl w:ilvl="0" w:tplc="0C090001">
      <w:start w:val="1"/>
      <w:numFmt w:val="bullet"/>
      <w:lvlText w:val=""/>
      <w:lvlJc w:val="left"/>
      <w:pPr>
        <w:ind w:left="720" w:hanging="360"/>
      </w:pPr>
      <w:rPr>
        <w:rFonts w:ascii="Symbol" w:hAnsi="Symbol" w:hint="default"/>
      </w:rPr>
    </w:lvl>
    <w:lvl w:ilvl="1" w:tplc="EA3ED076">
      <w:numFmt w:val="bullet"/>
      <w:lvlText w:val="•"/>
      <w:lvlJc w:val="left"/>
      <w:pPr>
        <w:ind w:left="1440" w:hanging="360"/>
      </w:pPr>
      <w:rPr>
        <w:rFonts w:ascii="Calibri" w:eastAsia="Calibr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8C0F5D"/>
    <w:multiLevelType w:val="hybridMultilevel"/>
    <w:tmpl w:val="49328918"/>
    <w:lvl w:ilvl="0" w:tplc="18BC561E">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2B5755"/>
    <w:multiLevelType w:val="hybridMultilevel"/>
    <w:tmpl w:val="229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6A"/>
    <w:rsid w:val="0001495B"/>
    <w:rsid w:val="00015D37"/>
    <w:rsid w:val="00016F12"/>
    <w:rsid w:val="00017178"/>
    <w:rsid w:val="00035450"/>
    <w:rsid w:val="00055A7E"/>
    <w:rsid w:val="00056A2D"/>
    <w:rsid w:val="000B1FFF"/>
    <w:rsid w:val="000C684E"/>
    <w:rsid w:val="000D1166"/>
    <w:rsid w:val="000D5E67"/>
    <w:rsid w:val="000D6226"/>
    <w:rsid w:val="000E7D34"/>
    <w:rsid w:val="000F0ACD"/>
    <w:rsid w:val="00134088"/>
    <w:rsid w:val="00143581"/>
    <w:rsid w:val="00164BBE"/>
    <w:rsid w:val="001665A8"/>
    <w:rsid w:val="001809F4"/>
    <w:rsid w:val="00197E71"/>
    <w:rsid w:val="001A215E"/>
    <w:rsid w:val="001A5BB1"/>
    <w:rsid w:val="001A6082"/>
    <w:rsid w:val="001A75CC"/>
    <w:rsid w:val="001C766D"/>
    <w:rsid w:val="001D1566"/>
    <w:rsid w:val="001D56E2"/>
    <w:rsid w:val="001E0670"/>
    <w:rsid w:val="001F2D25"/>
    <w:rsid w:val="00212317"/>
    <w:rsid w:val="002137AB"/>
    <w:rsid w:val="00221435"/>
    <w:rsid w:val="0022251A"/>
    <w:rsid w:val="00227864"/>
    <w:rsid w:val="00230B7A"/>
    <w:rsid w:val="00247F86"/>
    <w:rsid w:val="002514F6"/>
    <w:rsid w:val="002648B0"/>
    <w:rsid w:val="002706ED"/>
    <w:rsid w:val="002767A4"/>
    <w:rsid w:val="002879BF"/>
    <w:rsid w:val="00295D2D"/>
    <w:rsid w:val="002A4842"/>
    <w:rsid w:val="002A59DB"/>
    <w:rsid w:val="002D75ED"/>
    <w:rsid w:val="002E474A"/>
    <w:rsid w:val="002F4B69"/>
    <w:rsid w:val="002F625F"/>
    <w:rsid w:val="00325856"/>
    <w:rsid w:val="00330D1A"/>
    <w:rsid w:val="00353458"/>
    <w:rsid w:val="00355B39"/>
    <w:rsid w:val="00357B5A"/>
    <w:rsid w:val="00394A2F"/>
    <w:rsid w:val="003A2349"/>
    <w:rsid w:val="003B0736"/>
    <w:rsid w:val="003B0CC0"/>
    <w:rsid w:val="003B3AEC"/>
    <w:rsid w:val="003B4DB2"/>
    <w:rsid w:val="003C7881"/>
    <w:rsid w:val="003D6CFE"/>
    <w:rsid w:val="004231AB"/>
    <w:rsid w:val="00454C7D"/>
    <w:rsid w:val="0048640A"/>
    <w:rsid w:val="00496763"/>
    <w:rsid w:val="00514001"/>
    <w:rsid w:val="00520ECE"/>
    <w:rsid w:val="00542232"/>
    <w:rsid w:val="005451A6"/>
    <w:rsid w:val="005562C0"/>
    <w:rsid w:val="00565058"/>
    <w:rsid w:val="00573658"/>
    <w:rsid w:val="005A2CF3"/>
    <w:rsid w:val="005B3C01"/>
    <w:rsid w:val="005C2689"/>
    <w:rsid w:val="005D1581"/>
    <w:rsid w:val="005D1F5A"/>
    <w:rsid w:val="005D1FCF"/>
    <w:rsid w:val="005E20BA"/>
    <w:rsid w:val="00605C3B"/>
    <w:rsid w:val="00621610"/>
    <w:rsid w:val="00624748"/>
    <w:rsid w:val="00634486"/>
    <w:rsid w:val="006509D0"/>
    <w:rsid w:val="00652169"/>
    <w:rsid w:val="00675518"/>
    <w:rsid w:val="0069461C"/>
    <w:rsid w:val="00695A6A"/>
    <w:rsid w:val="00697C21"/>
    <w:rsid w:val="006A3C14"/>
    <w:rsid w:val="006B5587"/>
    <w:rsid w:val="006C089E"/>
    <w:rsid w:val="006D4503"/>
    <w:rsid w:val="006D7131"/>
    <w:rsid w:val="006E544C"/>
    <w:rsid w:val="006E6745"/>
    <w:rsid w:val="0071253E"/>
    <w:rsid w:val="007211E2"/>
    <w:rsid w:val="007241FE"/>
    <w:rsid w:val="00764975"/>
    <w:rsid w:val="00774149"/>
    <w:rsid w:val="007856C0"/>
    <w:rsid w:val="007A25F9"/>
    <w:rsid w:val="007A76F0"/>
    <w:rsid w:val="007B5EB7"/>
    <w:rsid w:val="007E7860"/>
    <w:rsid w:val="007F5468"/>
    <w:rsid w:val="00803B9B"/>
    <w:rsid w:val="008050C2"/>
    <w:rsid w:val="0080566A"/>
    <w:rsid w:val="0082295E"/>
    <w:rsid w:val="00831EA3"/>
    <w:rsid w:val="008437C3"/>
    <w:rsid w:val="00844585"/>
    <w:rsid w:val="008616F2"/>
    <w:rsid w:val="00862473"/>
    <w:rsid w:val="00864851"/>
    <w:rsid w:val="00872287"/>
    <w:rsid w:val="00884860"/>
    <w:rsid w:val="00895ABC"/>
    <w:rsid w:val="0089701A"/>
    <w:rsid w:val="008A43FB"/>
    <w:rsid w:val="008C1A2B"/>
    <w:rsid w:val="008E224A"/>
    <w:rsid w:val="008F40A9"/>
    <w:rsid w:val="00935AD2"/>
    <w:rsid w:val="00960255"/>
    <w:rsid w:val="009669EA"/>
    <w:rsid w:val="00983E9E"/>
    <w:rsid w:val="009A3D34"/>
    <w:rsid w:val="009B6D57"/>
    <w:rsid w:val="009C615F"/>
    <w:rsid w:val="009D57A9"/>
    <w:rsid w:val="009E1B3C"/>
    <w:rsid w:val="009E223E"/>
    <w:rsid w:val="009E43D9"/>
    <w:rsid w:val="009F1995"/>
    <w:rsid w:val="009F1F52"/>
    <w:rsid w:val="009F3D59"/>
    <w:rsid w:val="009F64F6"/>
    <w:rsid w:val="00A1132E"/>
    <w:rsid w:val="00A16AB8"/>
    <w:rsid w:val="00A208A9"/>
    <w:rsid w:val="00A2663C"/>
    <w:rsid w:val="00A437E3"/>
    <w:rsid w:val="00A549CE"/>
    <w:rsid w:val="00A61A92"/>
    <w:rsid w:val="00A762A0"/>
    <w:rsid w:val="00A9635B"/>
    <w:rsid w:val="00AA0CA8"/>
    <w:rsid w:val="00AA6915"/>
    <w:rsid w:val="00AB25B3"/>
    <w:rsid w:val="00AC5802"/>
    <w:rsid w:val="00AC59F6"/>
    <w:rsid w:val="00AD7190"/>
    <w:rsid w:val="00AE7954"/>
    <w:rsid w:val="00B015E2"/>
    <w:rsid w:val="00B04583"/>
    <w:rsid w:val="00B27800"/>
    <w:rsid w:val="00B34183"/>
    <w:rsid w:val="00B423BF"/>
    <w:rsid w:val="00B54FB5"/>
    <w:rsid w:val="00B55E69"/>
    <w:rsid w:val="00B5623E"/>
    <w:rsid w:val="00B56BFE"/>
    <w:rsid w:val="00B608A6"/>
    <w:rsid w:val="00B80282"/>
    <w:rsid w:val="00B875AC"/>
    <w:rsid w:val="00BB23AE"/>
    <w:rsid w:val="00BB7CE6"/>
    <w:rsid w:val="00BE07D1"/>
    <w:rsid w:val="00C036D7"/>
    <w:rsid w:val="00C075B6"/>
    <w:rsid w:val="00C144D7"/>
    <w:rsid w:val="00C151DE"/>
    <w:rsid w:val="00C1768A"/>
    <w:rsid w:val="00C31761"/>
    <w:rsid w:val="00C33571"/>
    <w:rsid w:val="00C66C64"/>
    <w:rsid w:val="00C71C59"/>
    <w:rsid w:val="00CB14D5"/>
    <w:rsid w:val="00CB7C63"/>
    <w:rsid w:val="00CD674C"/>
    <w:rsid w:val="00CE297F"/>
    <w:rsid w:val="00CE5CAF"/>
    <w:rsid w:val="00D0446D"/>
    <w:rsid w:val="00D10F8F"/>
    <w:rsid w:val="00D21836"/>
    <w:rsid w:val="00D37310"/>
    <w:rsid w:val="00D408A6"/>
    <w:rsid w:val="00D6768F"/>
    <w:rsid w:val="00D71891"/>
    <w:rsid w:val="00D73D9D"/>
    <w:rsid w:val="00D763EB"/>
    <w:rsid w:val="00D8435C"/>
    <w:rsid w:val="00D84FD8"/>
    <w:rsid w:val="00D935F5"/>
    <w:rsid w:val="00D93D49"/>
    <w:rsid w:val="00DC57D1"/>
    <w:rsid w:val="00DF46AF"/>
    <w:rsid w:val="00E05A31"/>
    <w:rsid w:val="00E05E1B"/>
    <w:rsid w:val="00E06CD8"/>
    <w:rsid w:val="00E42AB5"/>
    <w:rsid w:val="00E62BC7"/>
    <w:rsid w:val="00E83524"/>
    <w:rsid w:val="00E91516"/>
    <w:rsid w:val="00E91D46"/>
    <w:rsid w:val="00E97310"/>
    <w:rsid w:val="00E978DA"/>
    <w:rsid w:val="00EB4067"/>
    <w:rsid w:val="00ED4F46"/>
    <w:rsid w:val="00ED6681"/>
    <w:rsid w:val="00EE18F4"/>
    <w:rsid w:val="00EE77A6"/>
    <w:rsid w:val="00EF31E9"/>
    <w:rsid w:val="00F05BAD"/>
    <w:rsid w:val="00F14BC8"/>
    <w:rsid w:val="00F25643"/>
    <w:rsid w:val="00F42972"/>
    <w:rsid w:val="00F45BEB"/>
    <w:rsid w:val="00F50823"/>
    <w:rsid w:val="00F54EC8"/>
    <w:rsid w:val="00F5747D"/>
    <w:rsid w:val="00F63F22"/>
    <w:rsid w:val="00FC5C78"/>
    <w:rsid w:val="00FC63B6"/>
    <w:rsid w:val="00FF2E50"/>
    <w:rsid w:val="00FF4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9D5C2C7-144E-4FDD-8B1B-E29A9438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81"/>
    <w:pPr>
      <w:spacing w:after="200" w:line="276" w:lineRule="auto"/>
    </w:pPr>
    <w:rPr>
      <w:sz w:val="22"/>
      <w:szCs w:val="22"/>
      <w:lang w:eastAsia="en-US"/>
    </w:rPr>
  </w:style>
  <w:style w:type="paragraph" w:styleId="Heading5">
    <w:name w:val="heading 5"/>
    <w:basedOn w:val="Normal"/>
    <w:next w:val="Normal"/>
    <w:link w:val="Heading5Char"/>
    <w:unhideWhenUsed/>
    <w:qFormat/>
    <w:rsid w:val="003B3AE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A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3AEC"/>
    <w:rPr>
      <w:rFonts w:ascii="Tahoma" w:hAnsi="Tahoma" w:cs="Tahoma"/>
      <w:sz w:val="16"/>
      <w:szCs w:val="16"/>
    </w:rPr>
  </w:style>
  <w:style w:type="character" w:customStyle="1" w:styleId="Heading5Char">
    <w:name w:val="Heading 5 Char"/>
    <w:link w:val="Heading5"/>
    <w:rsid w:val="003B3AEC"/>
    <w:rPr>
      <w:rFonts w:ascii="Calibri" w:eastAsia="Times New Roman" w:hAnsi="Calibri" w:cs="Times New Roman"/>
      <w:b/>
      <w:bCs/>
      <w:i/>
      <w:iCs/>
      <w:sz w:val="26"/>
      <w:szCs w:val="26"/>
    </w:rPr>
  </w:style>
  <w:style w:type="character" w:styleId="Hyperlink">
    <w:name w:val="Hyperlink"/>
    <w:unhideWhenUsed/>
    <w:rsid w:val="003B3AEC"/>
    <w:rPr>
      <w:color w:val="0000FF"/>
      <w:u w:val="single"/>
    </w:rPr>
  </w:style>
  <w:style w:type="paragraph" w:styleId="Footer">
    <w:name w:val="footer"/>
    <w:basedOn w:val="Normal"/>
    <w:link w:val="FooterChar"/>
    <w:unhideWhenUsed/>
    <w:rsid w:val="003B3AEC"/>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link w:val="Footer"/>
    <w:rsid w:val="003B3AEC"/>
    <w:rPr>
      <w:rFonts w:ascii="Times New Roman" w:eastAsia="Times New Roman" w:hAnsi="Times New Roman" w:cs="Times New Roman"/>
      <w:sz w:val="24"/>
      <w:szCs w:val="20"/>
    </w:rPr>
  </w:style>
  <w:style w:type="paragraph" w:styleId="ListParagraph">
    <w:name w:val="List Paragraph"/>
    <w:basedOn w:val="Normal"/>
    <w:uiPriority w:val="34"/>
    <w:qFormat/>
    <w:rsid w:val="003B3AEC"/>
    <w:pPr>
      <w:spacing w:line="240" w:lineRule="auto"/>
      <w:ind w:left="720"/>
      <w:contextualSpacing/>
    </w:pPr>
    <w:rPr>
      <w:sz w:val="24"/>
      <w:szCs w:val="24"/>
    </w:rPr>
  </w:style>
  <w:style w:type="character" w:styleId="CommentReference">
    <w:name w:val="annotation reference"/>
    <w:uiPriority w:val="99"/>
    <w:semiHidden/>
    <w:unhideWhenUsed/>
    <w:rsid w:val="00675518"/>
    <w:rPr>
      <w:sz w:val="16"/>
      <w:szCs w:val="16"/>
    </w:rPr>
  </w:style>
  <w:style w:type="paragraph" w:styleId="CommentText">
    <w:name w:val="annotation text"/>
    <w:basedOn w:val="Normal"/>
    <w:link w:val="CommentTextChar"/>
    <w:uiPriority w:val="99"/>
    <w:semiHidden/>
    <w:unhideWhenUsed/>
    <w:rsid w:val="00675518"/>
    <w:rPr>
      <w:sz w:val="20"/>
      <w:szCs w:val="20"/>
    </w:rPr>
  </w:style>
  <w:style w:type="character" w:customStyle="1" w:styleId="CommentTextChar">
    <w:name w:val="Comment Text Char"/>
    <w:link w:val="CommentText"/>
    <w:uiPriority w:val="99"/>
    <w:semiHidden/>
    <w:rsid w:val="00675518"/>
    <w:rPr>
      <w:lang w:eastAsia="en-US"/>
    </w:rPr>
  </w:style>
  <w:style w:type="paragraph" w:styleId="CommentSubject">
    <w:name w:val="annotation subject"/>
    <w:basedOn w:val="CommentText"/>
    <w:next w:val="CommentText"/>
    <w:link w:val="CommentSubjectChar"/>
    <w:uiPriority w:val="99"/>
    <w:semiHidden/>
    <w:unhideWhenUsed/>
    <w:rsid w:val="00675518"/>
    <w:rPr>
      <w:b/>
      <w:bCs/>
    </w:rPr>
  </w:style>
  <w:style w:type="character" w:customStyle="1" w:styleId="CommentSubjectChar">
    <w:name w:val="Comment Subject Char"/>
    <w:link w:val="CommentSubject"/>
    <w:uiPriority w:val="99"/>
    <w:semiHidden/>
    <w:rsid w:val="00675518"/>
    <w:rPr>
      <w:b/>
      <w:bCs/>
      <w:lang w:eastAsia="en-US"/>
    </w:rPr>
  </w:style>
  <w:style w:type="paragraph" w:styleId="Header">
    <w:name w:val="header"/>
    <w:basedOn w:val="Normal"/>
    <w:link w:val="HeaderChar"/>
    <w:uiPriority w:val="99"/>
    <w:unhideWhenUsed/>
    <w:rsid w:val="002D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ED"/>
    <w:rPr>
      <w:sz w:val="22"/>
      <w:szCs w:val="22"/>
      <w:lang w:eastAsia="en-US"/>
    </w:rPr>
  </w:style>
  <w:style w:type="paragraph" w:styleId="Revision">
    <w:name w:val="Revision"/>
    <w:hidden/>
    <w:uiPriority w:val="99"/>
    <w:semiHidden/>
    <w:rsid w:val="00C71C59"/>
    <w:rPr>
      <w:sz w:val="22"/>
      <w:szCs w:val="22"/>
      <w:lang w:eastAsia="en-US"/>
    </w:rPr>
  </w:style>
  <w:style w:type="character" w:styleId="FollowedHyperlink">
    <w:name w:val="FollowedHyperlink"/>
    <w:basedOn w:val="DefaultParagraphFont"/>
    <w:uiPriority w:val="99"/>
    <w:semiHidden/>
    <w:unhideWhenUsed/>
    <w:rsid w:val="006247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2691">
      <w:bodyDiv w:val="1"/>
      <w:marLeft w:val="0"/>
      <w:marRight w:val="0"/>
      <w:marTop w:val="0"/>
      <w:marBottom w:val="0"/>
      <w:divBdr>
        <w:top w:val="none" w:sz="0" w:space="0" w:color="auto"/>
        <w:left w:val="none" w:sz="0" w:space="0" w:color="auto"/>
        <w:bottom w:val="none" w:sz="0" w:space="0" w:color="auto"/>
        <w:right w:val="none" w:sz="0" w:space="0" w:color="auto"/>
      </w:divBdr>
    </w:div>
    <w:div w:id="158078963">
      <w:bodyDiv w:val="1"/>
      <w:marLeft w:val="0"/>
      <w:marRight w:val="0"/>
      <w:marTop w:val="0"/>
      <w:marBottom w:val="0"/>
      <w:divBdr>
        <w:top w:val="none" w:sz="0" w:space="0" w:color="auto"/>
        <w:left w:val="none" w:sz="0" w:space="0" w:color="auto"/>
        <w:bottom w:val="none" w:sz="0" w:space="0" w:color="auto"/>
        <w:right w:val="none" w:sz="0" w:space="0" w:color="auto"/>
      </w:divBdr>
    </w:div>
    <w:div w:id="1930574811">
      <w:bodyDiv w:val="1"/>
      <w:marLeft w:val="0"/>
      <w:marRight w:val="0"/>
      <w:marTop w:val="0"/>
      <w:marBottom w:val="0"/>
      <w:divBdr>
        <w:top w:val="none" w:sz="0" w:space="0" w:color="auto"/>
        <w:left w:val="none" w:sz="0" w:space="0" w:color="auto"/>
        <w:bottom w:val="none" w:sz="0" w:space="0" w:color="auto"/>
        <w:right w:val="none" w:sz="0" w:space="0" w:color="auto"/>
      </w:divBdr>
    </w:div>
    <w:div w:id="19313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deathcommittee.ac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hilddeathreview@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EF685D8F</Template>
  <TotalTime>2</TotalTime>
  <Pages>1</Pages>
  <Words>389</Words>
  <Characters>1989</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Review of deaths of ACT children and young people identifies ongoing patterns</vt:lpstr>
    </vt:vector>
  </TitlesOfParts>
  <Company>ACT Government</Company>
  <LinksUpToDate>false</LinksUpToDate>
  <CharactersWithSpaces>2364</CharactersWithSpaces>
  <SharedDoc>false</SharedDoc>
  <HLinks>
    <vt:vector size="18" baseType="variant">
      <vt:variant>
        <vt:i4>6815869</vt:i4>
      </vt:variant>
      <vt:variant>
        <vt:i4>6</vt:i4>
      </vt:variant>
      <vt:variant>
        <vt:i4>0</vt:i4>
      </vt:variant>
      <vt:variant>
        <vt:i4>5</vt:i4>
      </vt:variant>
      <vt:variant>
        <vt:lpwstr>http://www.childdeathcommittee.act.gov.au/</vt:lpwstr>
      </vt:variant>
      <vt:variant>
        <vt:lpwstr/>
      </vt:variant>
      <vt:variant>
        <vt:i4>1310804</vt:i4>
      </vt:variant>
      <vt:variant>
        <vt:i4>3</vt:i4>
      </vt:variant>
      <vt:variant>
        <vt:i4>0</vt:i4>
      </vt:variant>
      <vt:variant>
        <vt:i4>5</vt:i4>
      </vt:variant>
      <vt:variant>
        <vt:lpwstr>http://www.sidsandkids.org/safe-sleeping/</vt:lpwstr>
      </vt:variant>
      <vt:variant>
        <vt:lpwstr/>
      </vt:variant>
      <vt:variant>
        <vt:i4>5439507</vt:i4>
      </vt:variant>
      <vt:variant>
        <vt:i4>0</vt:i4>
      </vt:variant>
      <vt:variant>
        <vt:i4>0</vt:i4>
      </vt:variant>
      <vt:variant>
        <vt:i4>5</vt:i4>
      </vt:variant>
      <vt:variant>
        <vt:lpwstr>http://www.hqsc.govt.nz/assets/CYMRC/Publications/CMYRC-special-report-March-2013.pdf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deaths of ACT children and young people identifies ongoing patterns</dc:title>
  <dc:subject>Review of deaths of ACT children and young people identifies ongoing patterns</dc:subject>
  <dc:creator>ACT Government</dc:creator>
  <cp:keywords>Review of deaths of ACT children and young people identifies ongoing patterns</cp:keywords>
  <cp:lastModifiedBy>Abramovic, Michelle</cp:lastModifiedBy>
  <cp:revision>3</cp:revision>
  <cp:lastPrinted>2016-03-06T23:56:00Z</cp:lastPrinted>
  <dcterms:created xsi:type="dcterms:W3CDTF">2018-06-06T22:57:00Z</dcterms:created>
  <dcterms:modified xsi:type="dcterms:W3CDTF">2018-06-06T23:22:00Z</dcterms:modified>
</cp:coreProperties>
</file>