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3135" w14:textId="77777777" w:rsidR="00D92464" w:rsidRPr="00D92464" w:rsidRDefault="00D92464" w:rsidP="00D92464">
      <w:pPr>
        <w:rPr>
          <w:rFonts w:eastAsia="Calibri" w:cs="Calibri"/>
          <w:sz w:val="20"/>
          <w:szCs w:val="20"/>
          <w:lang w:eastAsia="en-AU"/>
        </w:rPr>
      </w:pPr>
      <w:bookmarkStart w:id="0" w:name="_Toc179621014"/>
      <w:r w:rsidRPr="00D92464">
        <w:rPr>
          <w:rFonts w:eastAsia="Calibri" w:cs="Calibri"/>
          <w:b/>
          <w:bCs/>
          <w:sz w:val="20"/>
          <w:szCs w:val="20"/>
          <w:lang w:eastAsia="en-AU"/>
        </w:rPr>
        <w:t>Disclaimer:</w:t>
      </w:r>
      <w:r w:rsidRPr="00D92464">
        <w:rPr>
          <w:rFonts w:eastAsia="Calibri" w:cs="Calibri"/>
          <w:sz w:val="20"/>
          <w:szCs w:val="20"/>
          <w:lang w:eastAsia="en-AU"/>
        </w:rPr>
        <w:t xml:space="preserve"> </w:t>
      </w:r>
      <w:r w:rsidRPr="00D92464">
        <w:rPr>
          <w:rFonts w:eastAsia="Calibri" w:cs="Calibri"/>
          <w:i/>
          <w:iCs/>
          <w:sz w:val="20"/>
          <w:szCs w:val="20"/>
          <w:lang w:eastAsia="en-AU"/>
        </w:rPr>
        <w:t>In accordance with the principles outline</w:t>
      </w:r>
      <w:r w:rsidR="00582500">
        <w:rPr>
          <w:rFonts w:eastAsia="Calibri" w:cs="Calibri"/>
          <w:i/>
          <w:iCs/>
          <w:sz w:val="20"/>
          <w:szCs w:val="20"/>
          <w:lang w:eastAsia="en-AU"/>
        </w:rPr>
        <w:t>d</w:t>
      </w:r>
      <w:r w:rsidRPr="00D92464">
        <w:rPr>
          <w:rFonts w:eastAsia="Calibri" w:cs="Calibri"/>
          <w:i/>
          <w:iCs/>
          <w:sz w:val="20"/>
          <w:szCs w:val="20"/>
          <w:lang w:eastAsia="en-AU"/>
        </w:rPr>
        <w:t xml:space="preserve"> under section 3(c) of the </w:t>
      </w:r>
      <w:hyperlink r:id="rId8" w:history="1">
        <w:r w:rsidRPr="00D92464">
          <w:rPr>
            <w:rFonts w:eastAsia="Calibri" w:cs="Calibri"/>
            <w:i/>
            <w:iCs/>
            <w:color w:val="0563C1"/>
            <w:sz w:val="20"/>
            <w:szCs w:val="20"/>
            <w:u w:val="single"/>
            <w:lang w:eastAsia="en-AU"/>
          </w:rPr>
          <w:t>2020 Guidance on Caretaker Conventions</w:t>
        </w:r>
      </w:hyperlink>
      <w:r w:rsidRPr="00D92464">
        <w:rPr>
          <w:rFonts w:eastAsia="Calibri" w:cs="Calibri"/>
          <w:i/>
          <w:iCs/>
          <w:sz w:val="20"/>
          <w:szCs w:val="20"/>
          <w:lang w:eastAsia="en-AU"/>
        </w:rPr>
        <w:t>, candidates should be shortlisted and decided by the incoming government.</w:t>
      </w:r>
    </w:p>
    <w:p w14:paraId="00F585F7" w14:textId="77777777" w:rsidR="00D92464" w:rsidRDefault="00D92464" w:rsidP="00D92464">
      <w:pPr>
        <w:pStyle w:val="Heading1"/>
        <w:rPr>
          <w:sz w:val="22"/>
          <w:szCs w:val="22"/>
        </w:rPr>
      </w:pPr>
    </w:p>
    <w:p w14:paraId="662101AF" w14:textId="799ACB46" w:rsidR="00D92464" w:rsidRPr="00D92464" w:rsidRDefault="002C725F" w:rsidP="00D92464">
      <w:pPr>
        <w:pStyle w:val="Heading1"/>
        <w:rPr>
          <w:sz w:val="22"/>
          <w:szCs w:val="22"/>
        </w:rPr>
      </w:pPr>
      <w:r w:rsidRPr="00D92464">
        <w:rPr>
          <w:sz w:val="22"/>
          <w:szCs w:val="22"/>
        </w:rPr>
        <w:t>Position Description</w:t>
      </w:r>
    </w:p>
    <w:bookmarkEnd w:id="0"/>
    <w:p w14:paraId="1B4A962E" w14:textId="77777777" w:rsidR="002C725F" w:rsidRPr="00D92464" w:rsidRDefault="002C725F" w:rsidP="00B77ADB">
      <w:pPr>
        <w:pStyle w:val="Heading2"/>
        <w:shd w:val="clear" w:color="auto" w:fill="1F3864"/>
        <w:rPr>
          <w:color w:val="FFFFFF"/>
          <w:sz w:val="22"/>
          <w:szCs w:val="22"/>
        </w:rPr>
      </w:pPr>
      <w:r w:rsidRPr="00D92464">
        <w:rPr>
          <w:color w:val="FFFFFF"/>
          <w:sz w:val="22"/>
          <w:szCs w:val="22"/>
        </w:rPr>
        <w:t>About the ACT Child and Young People Death Review Committee</w:t>
      </w:r>
    </w:p>
    <w:p w14:paraId="17702E77" w14:textId="77777777" w:rsidR="00D73242" w:rsidRDefault="00D73242" w:rsidP="0001541F">
      <w:pPr>
        <w:ind w:right="-483"/>
      </w:pPr>
    </w:p>
    <w:p w14:paraId="45B35735" w14:textId="77777777" w:rsidR="0001541F" w:rsidRPr="00D92464" w:rsidRDefault="0001541F" w:rsidP="0001541F">
      <w:pPr>
        <w:ind w:right="-483"/>
        <w:rPr>
          <w:sz w:val="20"/>
          <w:szCs w:val="20"/>
        </w:rPr>
      </w:pPr>
      <w:r w:rsidRPr="00D92464">
        <w:rPr>
          <w:sz w:val="20"/>
          <w:szCs w:val="20"/>
        </w:rPr>
        <w:t xml:space="preserve">The ACT Children and Young People Death Review Committee (CYPDRC) is established under </w:t>
      </w:r>
      <w:r w:rsidR="00F870E4" w:rsidRPr="00D92464">
        <w:rPr>
          <w:i/>
          <w:sz w:val="20"/>
          <w:szCs w:val="20"/>
        </w:rPr>
        <w:t>the Children and Young P</w:t>
      </w:r>
      <w:r w:rsidRPr="00D92464">
        <w:rPr>
          <w:i/>
          <w:sz w:val="20"/>
          <w:szCs w:val="20"/>
        </w:rPr>
        <w:t>eople ACT 2008</w:t>
      </w:r>
      <w:r w:rsidRPr="00D92464">
        <w:rPr>
          <w:sz w:val="20"/>
          <w:szCs w:val="20"/>
        </w:rPr>
        <w:t xml:space="preserve"> (the Act). The Act can be located on the ACT legislation register </w:t>
      </w:r>
      <w:hyperlink r:id="rId9" w:history="1">
        <w:r w:rsidRPr="00D92464">
          <w:rPr>
            <w:rStyle w:val="Hyperlink"/>
            <w:rFonts w:ascii="Century Gothic" w:hAnsi="Century Gothic"/>
            <w:sz w:val="20"/>
            <w:szCs w:val="20"/>
          </w:rPr>
          <w:t>www.act.legislation.act.gov.au</w:t>
        </w:r>
      </w:hyperlink>
    </w:p>
    <w:p w14:paraId="0C256D24" w14:textId="77777777" w:rsidR="0001541F" w:rsidRPr="00D92464" w:rsidRDefault="0001541F" w:rsidP="0001541F">
      <w:pPr>
        <w:ind w:right="-483"/>
        <w:rPr>
          <w:sz w:val="20"/>
          <w:szCs w:val="20"/>
        </w:rPr>
      </w:pPr>
    </w:p>
    <w:p w14:paraId="12D8AC3D" w14:textId="77777777" w:rsidR="0001541F" w:rsidRPr="00D92464" w:rsidRDefault="0001541F" w:rsidP="00FB34AC">
      <w:pPr>
        <w:spacing w:after="240"/>
        <w:ind w:right="-483"/>
        <w:rPr>
          <w:sz w:val="20"/>
          <w:szCs w:val="20"/>
        </w:rPr>
      </w:pPr>
      <w:r w:rsidRPr="00D92464">
        <w:rPr>
          <w:sz w:val="20"/>
          <w:szCs w:val="20"/>
        </w:rPr>
        <w:t xml:space="preserve">The CYPDRC </w:t>
      </w:r>
      <w:r w:rsidR="005D6683" w:rsidRPr="00D92464">
        <w:rPr>
          <w:sz w:val="20"/>
          <w:szCs w:val="20"/>
        </w:rPr>
        <w:t xml:space="preserve">meets four times a year and </w:t>
      </w:r>
      <w:r w:rsidRPr="00D92464">
        <w:rPr>
          <w:sz w:val="20"/>
          <w:szCs w:val="20"/>
        </w:rPr>
        <w:t xml:space="preserve">has the following functions: </w:t>
      </w:r>
    </w:p>
    <w:p w14:paraId="1D544F71" w14:textId="77777777" w:rsidR="0001541F" w:rsidRPr="00D92464" w:rsidRDefault="0001541F" w:rsidP="0001541F">
      <w:pPr>
        <w:spacing w:line="276" w:lineRule="auto"/>
        <w:ind w:left="284" w:right="-483"/>
        <w:rPr>
          <w:sz w:val="20"/>
          <w:szCs w:val="20"/>
        </w:rPr>
      </w:pPr>
      <w:r w:rsidRPr="00D92464">
        <w:rPr>
          <w:sz w:val="20"/>
          <w:szCs w:val="20"/>
        </w:rPr>
        <w:t>(a) to keep a register of deaths of children and young people under part 19A.</w:t>
      </w:r>
      <w:proofErr w:type="gramStart"/>
      <w:r w:rsidRPr="00D92464">
        <w:rPr>
          <w:sz w:val="20"/>
          <w:szCs w:val="20"/>
        </w:rPr>
        <w:t>3;</w:t>
      </w:r>
      <w:proofErr w:type="gramEnd"/>
    </w:p>
    <w:p w14:paraId="46786D21" w14:textId="77777777" w:rsidR="0001541F" w:rsidRPr="00D92464" w:rsidRDefault="0001541F" w:rsidP="0001541F">
      <w:pPr>
        <w:spacing w:line="276" w:lineRule="auto"/>
        <w:ind w:left="284" w:right="-483"/>
        <w:rPr>
          <w:sz w:val="20"/>
          <w:szCs w:val="20"/>
        </w:rPr>
      </w:pPr>
      <w:r w:rsidRPr="00D92464">
        <w:rPr>
          <w:sz w:val="20"/>
          <w:szCs w:val="20"/>
        </w:rPr>
        <w:t xml:space="preserve">(b) to identify patterns and trends in relation to the deaths of children and young </w:t>
      </w:r>
      <w:proofErr w:type="gramStart"/>
      <w:r w:rsidRPr="00D92464">
        <w:rPr>
          <w:sz w:val="20"/>
          <w:szCs w:val="20"/>
        </w:rPr>
        <w:t>people;</w:t>
      </w:r>
      <w:proofErr w:type="gramEnd"/>
    </w:p>
    <w:p w14:paraId="14FF64FB" w14:textId="77777777" w:rsidR="0001541F" w:rsidRPr="00D92464" w:rsidRDefault="0001541F" w:rsidP="0001541F">
      <w:pPr>
        <w:spacing w:line="276" w:lineRule="auto"/>
        <w:ind w:left="284" w:right="-483"/>
        <w:rPr>
          <w:sz w:val="20"/>
          <w:szCs w:val="20"/>
        </w:rPr>
      </w:pPr>
      <w:r w:rsidRPr="00D92464">
        <w:rPr>
          <w:sz w:val="20"/>
          <w:szCs w:val="20"/>
        </w:rPr>
        <w:t xml:space="preserve">(c) to undertake research that aims to help prevent or reduce the likelihood of the death of children and young </w:t>
      </w:r>
      <w:proofErr w:type="gramStart"/>
      <w:r w:rsidRPr="00D92464">
        <w:rPr>
          <w:sz w:val="20"/>
          <w:szCs w:val="20"/>
        </w:rPr>
        <w:t>people;</w:t>
      </w:r>
      <w:proofErr w:type="gramEnd"/>
    </w:p>
    <w:p w14:paraId="24D1AA6E" w14:textId="77777777" w:rsidR="0001541F" w:rsidRPr="00D92464" w:rsidRDefault="0001541F" w:rsidP="0001541F">
      <w:pPr>
        <w:spacing w:line="276" w:lineRule="auto"/>
        <w:ind w:left="284" w:right="-483"/>
        <w:rPr>
          <w:sz w:val="20"/>
          <w:szCs w:val="20"/>
        </w:rPr>
      </w:pPr>
      <w:r w:rsidRPr="00D92464">
        <w:rPr>
          <w:sz w:val="20"/>
          <w:szCs w:val="20"/>
        </w:rPr>
        <w:t xml:space="preserve">(d) to identify areas requiring further research, by the committee or another entity, that arise from the identified patterns and trends in relation to the deaths of children and young </w:t>
      </w:r>
      <w:proofErr w:type="gramStart"/>
      <w:r w:rsidRPr="00D92464">
        <w:rPr>
          <w:sz w:val="20"/>
          <w:szCs w:val="20"/>
        </w:rPr>
        <w:t>people;</w:t>
      </w:r>
      <w:proofErr w:type="gramEnd"/>
    </w:p>
    <w:p w14:paraId="1A840F1C" w14:textId="77777777" w:rsidR="0001541F" w:rsidRPr="00D92464" w:rsidRDefault="0001541F" w:rsidP="0001541F">
      <w:pPr>
        <w:spacing w:line="276" w:lineRule="auto"/>
        <w:ind w:left="284" w:right="-483"/>
        <w:rPr>
          <w:sz w:val="20"/>
          <w:szCs w:val="20"/>
        </w:rPr>
      </w:pPr>
      <w:r w:rsidRPr="00D92464">
        <w:rPr>
          <w:sz w:val="20"/>
          <w:szCs w:val="20"/>
        </w:rPr>
        <w:t xml:space="preserve">(e) to make recommendations about legislation, policies, practices and services for implementation by the Territory and non-government bodies to help prevent or reduce the likelihood of the death of children and young </w:t>
      </w:r>
      <w:proofErr w:type="gramStart"/>
      <w:r w:rsidRPr="00D92464">
        <w:rPr>
          <w:sz w:val="20"/>
          <w:szCs w:val="20"/>
        </w:rPr>
        <w:t>people;</w:t>
      </w:r>
      <w:proofErr w:type="gramEnd"/>
    </w:p>
    <w:p w14:paraId="57447425" w14:textId="77777777" w:rsidR="0001541F" w:rsidRPr="00D92464" w:rsidRDefault="0001541F" w:rsidP="0001541F">
      <w:pPr>
        <w:spacing w:line="276" w:lineRule="auto"/>
        <w:ind w:left="284" w:right="-483"/>
        <w:rPr>
          <w:sz w:val="20"/>
          <w:szCs w:val="20"/>
        </w:rPr>
      </w:pPr>
      <w:r w:rsidRPr="00D92464">
        <w:rPr>
          <w:sz w:val="20"/>
          <w:szCs w:val="20"/>
        </w:rPr>
        <w:t xml:space="preserve">(f) to monitor the implementation of the committee’s </w:t>
      </w:r>
      <w:proofErr w:type="gramStart"/>
      <w:r w:rsidRPr="00D92464">
        <w:rPr>
          <w:sz w:val="20"/>
          <w:szCs w:val="20"/>
        </w:rPr>
        <w:t>recommendations;</w:t>
      </w:r>
      <w:proofErr w:type="gramEnd"/>
    </w:p>
    <w:p w14:paraId="78289A83" w14:textId="77777777" w:rsidR="0001541F" w:rsidRPr="00D92464" w:rsidRDefault="0001541F" w:rsidP="0001541F">
      <w:pPr>
        <w:spacing w:line="276" w:lineRule="auto"/>
        <w:ind w:left="284" w:right="-483"/>
        <w:rPr>
          <w:sz w:val="20"/>
          <w:szCs w:val="20"/>
        </w:rPr>
      </w:pPr>
      <w:r w:rsidRPr="00D92464">
        <w:rPr>
          <w:sz w:val="20"/>
          <w:szCs w:val="20"/>
        </w:rPr>
        <w:t>(g) to report to the Minister under part 19A.</w:t>
      </w:r>
      <w:proofErr w:type="gramStart"/>
      <w:r w:rsidRPr="00D92464">
        <w:rPr>
          <w:sz w:val="20"/>
          <w:szCs w:val="20"/>
        </w:rPr>
        <w:t>4;</w:t>
      </w:r>
      <w:proofErr w:type="gramEnd"/>
    </w:p>
    <w:p w14:paraId="48BC8315" w14:textId="77777777" w:rsidR="0001541F" w:rsidRPr="00D92464" w:rsidRDefault="0001541F" w:rsidP="0001541F">
      <w:pPr>
        <w:spacing w:line="276" w:lineRule="auto"/>
        <w:ind w:left="284" w:right="-483"/>
        <w:rPr>
          <w:sz w:val="20"/>
          <w:szCs w:val="20"/>
        </w:rPr>
      </w:pPr>
      <w:r w:rsidRPr="00D92464">
        <w:rPr>
          <w:sz w:val="20"/>
          <w:szCs w:val="20"/>
        </w:rPr>
        <w:t>(h) any other function given to the committee under this chapter.</w:t>
      </w:r>
    </w:p>
    <w:p w14:paraId="02FDA143" w14:textId="77777777" w:rsidR="0001541F" w:rsidRPr="00D92464" w:rsidRDefault="0001541F" w:rsidP="0001541F">
      <w:pPr>
        <w:spacing w:line="276" w:lineRule="auto"/>
        <w:ind w:right="-483"/>
        <w:rPr>
          <w:sz w:val="20"/>
          <w:szCs w:val="20"/>
        </w:rPr>
      </w:pPr>
    </w:p>
    <w:p w14:paraId="572038A4" w14:textId="77777777" w:rsidR="0001541F" w:rsidRPr="00D92464" w:rsidRDefault="0001541F" w:rsidP="0001541F">
      <w:pPr>
        <w:ind w:right="-483"/>
        <w:rPr>
          <w:sz w:val="20"/>
          <w:szCs w:val="20"/>
        </w:rPr>
      </w:pPr>
      <w:r w:rsidRPr="00D92464">
        <w:rPr>
          <w:sz w:val="20"/>
          <w:szCs w:val="20"/>
        </w:rPr>
        <w:t>(2) The CYP death review committee has no function in relation to</w:t>
      </w:r>
      <w:r w:rsidR="005D6683" w:rsidRPr="00D92464">
        <w:rPr>
          <w:sz w:val="20"/>
          <w:szCs w:val="20"/>
        </w:rPr>
        <w:t xml:space="preserve"> </w:t>
      </w:r>
      <w:r w:rsidRPr="00D92464">
        <w:rPr>
          <w:sz w:val="20"/>
          <w:szCs w:val="20"/>
        </w:rPr>
        <w:t>reviewing the cause of death of a particular child or young person.</w:t>
      </w:r>
    </w:p>
    <w:p w14:paraId="0A29D95B" w14:textId="77777777" w:rsidR="0001541F" w:rsidRPr="00D92464" w:rsidRDefault="0001541F" w:rsidP="0001541F">
      <w:pPr>
        <w:ind w:right="-483"/>
        <w:rPr>
          <w:sz w:val="20"/>
          <w:szCs w:val="20"/>
        </w:rPr>
      </w:pPr>
    </w:p>
    <w:p w14:paraId="02842026" w14:textId="77777777" w:rsidR="005D6683" w:rsidRPr="00D92464" w:rsidRDefault="005D6683" w:rsidP="0001541F">
      <w:pPr>
        <w:ind w:right="-483"/>
        <w:rPr>
          <w:sz w:val="20"/>
          <w:szCs w:val="20"/>
        </w:rPr>
      </w:pPr>
      <w:r w:rsidRPr="00D92464">
        <w:rPr>
          <w:sz w:val="20"/>
          <w:szCs w:val="20"/>
        </w:rPr>
        <w:t xml:space="preserve">For further information please see the CYPDRC Information Guide. </w:t>
      </w:r>
    </w:p>
    <w:p w14:paraId="21D20C1A" w14:textId="77777777" w:rsidR="005D6683" w:rsidRPr="00D92464" w:rsidRDefault="005D6683" w:rsidP="0001541F">
      <w:pPr>
        <w:ind w:right="-483"/>
      </w:pPr>
    </w:p>
    <w:p w14:paraId="12270111" w14:textId="77777777" w:rsidR="002C725F" w:rsidRPr="00D92464" w:rsidRDefault="002C725F" w:rsidP="003832E9">
      <w:pPr>
        <w:pStyle w:val="Heading2"/>
        <w:rPr>
          <w:sz w:val="22"/>
          <w:szCs w:val="22"/>
        </w:rPr>
      </w:pPr>
      <w:r w:rsidRPr="00D92464">
        <w:rPr>
          <w:sz w:val="22"/>
          <w:szCs w:val="22"/>
        </w:rPr>
        <w:t>Expectations of Committee Members</w:t>
      </w:r>
    </w:p>
    <w:p w14:paraId="7D609574" w14:textId="77777777" w:rsidR="002C725F" w:rsidRDefault="002C725F" w:rsidP="002C725F">
      <w:pPr>
        <w:pStyle w:val="Default"/>
      </w:pPr>
    </w:p>
    <w:p w14:paraId="7D5290C0" w14:textId="77777777" w:rsidR="002C725F" w:rsidRPr="00D92464" w:rsidRDefault="002C725F" w:rsidP="00746702">
      <w:pPr>
        <w:numPr>
          <w:ilvl w:val="0"/>
          <w:numId w:val="36"/>
        </w:numPr>
        <w:rPr>
          <w:sz w:val="20"/>
          <w:szCs w:val="20"/>
        </w:rPr>
      </w:pPr>
      <w:r w:rsidRPr="00F72A44">
        <w:t>A</w:t>
      </w:r>
      <w:r w:rsidRPr="00D92464">
        <w:rPr>
          <w:sz w:val="20"/>
          <w:szCs w:val="20"/>
        </w:rPr>
        <w:t xml:space="preserve">ttend and actively participate in a minimum of 75 per cent of </w:t>
      </w:r>
      <w:r w:rsidR="00746702" w:rsidRPr="00D92464">
        <w:rPr>
          <w:sz w:val="20"/>
          <w:szCs w:val="20"/>
        </w:rPr>
        <w:t xml:space="preserve">CYPDRC </w:t>
      </w:r>
      <w:r w:rsidRPr="00D92464">
        <w:rPr>
          <w:sz w:val="20"/>
          <w:szCs w:val="20"/>
        </w:rPr>
        <w:t xml:space="preserve">meetings as well as any </w:t>
      </w:r>
      <w:r w:rsidR="00F72A44" w:rsidRPr="00D92464">
        <w:rPr>
          <w:sz w:val="20"/>
          <w:szCs w:val="20"/>
        </w:rPr>
        <w:t>sub</w:t>
      </w:r>
      <w:r w:rsidRPr="00D92464">
        <w:rPr>
          <w:sz w:val="20"/>
          <w:szCs w:val="20"/>
        </w:rPr>
        <w:t xml:space="preserve">committee </w:t>
      </w:r>
      <w:r w:rsidR="00F72A44" w:rsidRPr="00D92464">
        <w:rPr>
          <w:sz w:val="20"/>
          <w:szCs w:val="20"/>
        </w:rPr>
        <w:t xml:space="preserve">or out of session </w:t>
      </w:r>
      <w:r w:rsidRPr="00D92464">
        <w:rPr>
          <w:sz w:val="20"/>
          <w:szCs w:val="20"/>
        </w:rPr>
        <w:t xml:space="preserve">meetings held during the year. </w:t>
      </w:r>
    </w:p>
    <w:p w14:paraId="638821A4" w14:textId="77777777" w:rsidR="00746702" w:rsidRPr="00D92464" w:rsidRDefault="002C725F" w:rsidP="00746702">
      <w:pPr>
        <w:numPr>
          <w:ilvl w:val="0"/>
          <w:numId w:val="36"/>
        </w:numPr>
        <w:rPr>
          <w:sz w:val="20"/>
          <w:szCs w:val="20"/>
        </w:rPr>
      </w:pPr>
      <w:r w:rsidRPr="00D92464">
        <w:rPr>
          <w:sz w:val="20"/>
          <w:szCs w:val="20"/>
        </w:rPr>
        <w:t xml:space="preserve">Participate on a sub-committee of the </w:t>
      </w:r>
      <w:r w:rsidR="00746702" w:rsidRPr="00D92464">
        <w:rPr>
          <w:sz w:val="20"/>
          <w:szCs w:val="20"/>
        </w:rPr>
        <w:t>CYPDRC</w:t>
      </w:r>
      <w:r w:rsidRPr="00D92464">
        <w:rPr>
          <w:sz w:val="20"/>
          <w:szCs w:val="20"/>
        </w:rPr>
        <w:t xml:space="preserve">. </w:t>
      </w:r>
    </w:p>
    <w:p w14:paraId="787F6F36" w14:textId="77777777" w:rsidR="002C725F" w:rsidRPr="00D92464" w:rsidRDefault="002C725F" w:rsidP="00746702">
      <w:pPr>
        <w:numPr>
          <w:ilvl w:val="0"/>
          <w:numId w:val="36"/>
        </w:numPr>
        <w:rPr>
          <w:sz w:val="20"/>
          <w:szCs w:val="20"/>
        </w:rPr>
      </w:pPr>
      <w:r w:rsidRPr="00D92464">
        <w:rPr>
          <w:sz w:val="20"/>
          <w:szCs w:val="20"/>
        </w:rPr>
        <w:t xml:space="preserve">Develop a full understanding of the </w:t>
      </w:r>
      <w:r w:rsidR="00746702" w:rsidRPr="00D92464">
        <w:rPr>
          <w:sz w:val="20"/>
          <w:szCs w:val="20"/>
        </w:rPr>
        <w:t>CYPDRC’s</w:t>
      </w:r>
      <w:r w:rsidRPr="00D92464">
        <w:rPr>
          <w:sz w:val="20"/>
          <w:szCs w:val="20"/>
        </w:rPr>
        <w:t xml:space="preserve"> </w:t>
      </w:r>
      <w:r w:rsidR="00746702" w:rsidRPr="00D92464">
        <w:rPr>
          <w:sz w:val="20"/>
          <w:szCs w:val="20"/>
        </w:rPr>
        <w:t>functions</w:t>
      </w:r>
      <w:r w:rsidRPr="00D92464">
        <w:rPr>
          <w:sz w:val="20"/>
          <w:szCs w:val="20"/>
        </w:rPr>
        <w:t xml:space="preserve">, strategic </w:t>
      </w:r>
      <w:proofErr w:type="gramStart"/>
      <w:r w:rsidRPr="00D92464">
        <w:rPr>
          <w:sz w:val="20"/>
          <w:szCs w:val="20"/>
        </w:rPr>
        <w:t>context</w:t>
      </w:r>
      <w:proofErr w:type="gramEnd"/>
      <w:r w:rsidRPr="00D92464">
        <w:rPr>
          <w:sz w:val="20"/>
          <w:szCs w:val="20"/>
        </w:rPr>
        <w:t xml:space="preserve"> and legal framework. </w:t>
      </w:r>
    </w:p>
    <w:p w14:paraId="4BDA5444" w14:textId="77777777" w:rsidR="002C725F" w:rsidRPr="00D92464" w:rsidRDefault="002C725F" w:rsidP="00746702">
      <w:pPr>
        <w:numPr>
          <w:ilvl w:val="0"/>
          <w:numId w:val="36"/>
        </w:numPr>
        <w:rPr>
          <w:sz w:val="20"/>
          <w:szCs w:val="20"/>
        </w:rPr>
      </w:pPr>
      <w:r w:rsidRPr="00D92464">
        <w:rPr>
          <w:sz w:val="20"/>
          <w:szCs w:val="20"/>
        </w:rPr>
        <w:t xml:space="preserve">Act in good faith in the best interests of the </w:t>
      </w:r>
      <w:r w:rsidR="00746702" w:rsidRPr="00D92464">
        <w:rPr>
          <w:sz w:val="20"/>
          <w:szCs w:val="20"/>
        </w:rPr>
        <w:t>CYPDRC</w:t>
      </w:r>
      <w:r w:rsidRPr="00D92464">
        <w:rPr>
          <w:sz w:val="20"/>
          <w:szCs w:val="20"/>
        </w:rPr>
        <w:t xml:space="preserve"> </w:t>
      </w:r>
      <w:proofErr w:type="gramStart"/>
      <w:r w:rsidRPr="00D92464">
        <w:rPr>
          <w:sz w:val="20"/>
          <w:szCs w:val="20"/>
        </w:rPr>
        <w:t>at all times</w:t>
      </w:r>
      <w:proofErr w:type="gramEnd"/>
      <w:r w:rsidRPr="00D92464">
        <w:rPr>
          <w:sz w:val="20"/>
          <w:szCs w:val="20"/>
        </w:rPr>
        <w:t xml:space="preserve">. </w:t>
      </w:r>
    </w:p>
    <w:p w14:paraId="11DF930A" w14:textId="77777777" w:rsidR="002C725F" w:rsidRPr="00D92464" w:rsidRDefault="002C725F" w:rsidP="00746702">
      <w:pPr>
        <w:numPr>
          <w:ilvl w:val="0"/>
          <w:numId w:val="36"/>
        </w:numPr>
        <w:rPr>
          <w:sz w:val="20"/>
          <w:szCs w:val="20"/>
        </w:rPr>
      </w:pPr>
      <w:r w:rsidRPr="00D92464">
        <w:rPr>
          <w:sz w:val="20"/>
          <w:szCs w:val="20"/>
        </w:rPr>
        <w:t xml:space="preserve">Act with the degree of care and diligence that a reasonable person might be expected to show in the role, and do not improperly use the position, or the information gained in the course of the role, to gain an advantage for themselves or someone else to the detriment of the organisation. </w:t>
      </w:r>
    </w:p>
    <w:p w14:paraId="4918B468" w14:textId="77777777" w:rsidR="002C725F" w:rsidRPr="00D92464" w:rsidRDefault="002C725F" w:rsidP="00746702">
      <w:pPr>
        <w:numPr>
          <w:ilvl w:val="0"/>
          <w:numId w:val="36"/>
        </w:numPr>
        <w:rPr>
          <w:sz w:val="20"/>
          <w:szCs w:val="20"/>
        </w:rPr>
      </w:pPr>
      <w:r w:rsidRPr="00D92464">
        <w:rPr>
          <w:sz w:val="20"/>
          <w:szCs w:val="20"/>
        </w:rPr>
        <w:t xml:space="preserve">Adhere to the </w:t>
      </w:r>
      <w:r w:rsidR="00746702" w:rsidRPr="00D92464">
        <w:rPr>
          <w:sz w:val="20"/>
          <w:szCs w:val="20"/>
        </w:rPr>
        <w:t>CYPDRC</w:t>
      </w:r>
      <w:r w:rsidRPr="00D92464">
        <w:rPr>
          <w:sz w:val="20"/>
          <w:szCs w:val="20"/>
        </w:rPr>
        <w:t xml:space="preserve"> code of conduct including bringing any actual or potential conflict of interest or any perceived conflict of interest to the attention of the chairperson of the </w:t>
      </w:r>
      <w:r w:rsidR="00746702" w:rsidRPr="00D92464">
        <w:rPr>
          <w:sz w:val="20"/>
          <w:szCs w:val="20"/>
        </w:rPr>
        <w:t>CYPDRC</w:t>
      </w:r>
      <w:r w:rsidRPr="00D92464">
        <w:rPr>
          <w:sz w:val="20"/>
          <w:szCs w:val="20"/>
        </w:rPr>
        <w:t xml:space="preserve">. </w:t>
      </w:r>
    </w:p>
    <w:p w14:paraId="53CDE873" w14:textId="77777777" w:rsidR="002C725F" w:rsidRPr="00D92464" w:rsidRDefault="002C725F" w:rsidP="00746702">
      <w:pPr>
        <w:numPr>
          <w:ilvl w:val="0"/>
          <w:numId w:val="36"/>
        </w:numPr>
        <w:rPr>
          <w:sz w:val="20"/>
          <w:szCs w:val="20"/>
        </w:rPr>
      </w:pPr>
      <w:r w:rsidRPr="00D92464">
        <w:rPr>
          <w:sz w:val="20"/>
          <w:szCs w:val="20"/>
        </w:rPr>
        <w:t xml:space="preserve">Undertake identified and agreed training and development </w:t>
      </w:r>
      <w:proofErr w:type="gramStart"/>
      <w:r w:rsidRPr="00D92464">
        <w:rPr>
          <w:sz w:val="20"/>
          <w:szCs w:val="20"/>
        </w:rPr>
        <w:t>in order to</w:t>
      </w:r>
      <w:proofErr w:type="gramEnd"/>
      <w:r w:rsidRPr="00D92464">
        <w:rPr>
          <w:sz w:val="20"/>
          <w:szCs w:val="20"/>
        </w:rPr>
        <w:t xml:space="preserve"> fully discharge their responsibilities. </w:t>
      </w:r>
    </w:p>
    <w:p w14:paraId="1D5B687C" w14:textId="77777777" w:rsidR="001A38B7" w:rsidRPr="00F72A44" w:rsidRDefault="001A38B7" w:rsidP="001A38B7">
      <w:pPr>
        <w:numPr>
          <w:ilvl w:val="0"/>
          <w:numId w:val="36"/>
        </w:numPr>
      </w:pPr>
      <w:r w:rsidRPr="00D92464">
        <w:rPr>
          <w:sz w:val="20"/>
          <w:szCs w:val="20"/>
        </w:rPr>
        <w:t>Consistently model and demonstrate the ACT Government Respect, Equity and Diversity Framework and lead safe work practices that are</w:t>
      </w:r>
      <w:r w:rsidRPr="00F72A44">
        <w:t xml:space="preserve"> in </w:t>
      </w:r>
      <w:r w:rsidRPr="00D92464">
        <w:rPr>
          <w:sz w:val="20"/>
          <w:szCs w:val="20"/>
        </w:rPr>
        <w:lastRenderedPageBreak/>
        <w:t>accordance with the Directorate</w:t>
      </w:r>
      <w:r w:rsidR="00F870E4" w:rsidRPr="00D92464">
        <w:rPr>
          <w:sz w:val="20"/>
          <w:szCs w:val="20"/>
        </w:rPr>
        <w:t>’</w:t>
      </w:r>
      <w:r w:rsidRPr="00D92464">
        <w:rPr>
          <w:sz w:val="20"/>
          <w:szCs w:val="20"/>
        </w:rPr>
        <w:t>s Work, Health and Safety policies, procedures and roles and responsibilities.</w:t>
      </w:r>
      <w:r w:rsidRPr="00F72A44">
        <w:t xml:space="preserve"> </w:t>
      </w:r>
    </w:p>
    <w:p w14:paraId="56C41551" w14:textId="77777777" w:rsidR="002C725F" w:rsidRDefault="002C725F" w:rsidP="002C725F"/>
    <w:p w14:paraId="3B72AE13" w14:textId="77777777" w:rsidR="00746702" w:rsidRPr="00D92464" w:rsidRDefault="00746702" w:rsidP="003832E9">
      <w:pPr>
        <w:pStyle w:val="Heading2"/>
        <w:rPr>
          <w:sz w:val="22"/>
          <w:szCs w:val="22"/>
        </w:rPr>
      </w:pPr>
      <w:r w:rsidRPr="00D92464">
        <w:rPr>
          <w:sz w:val="22"/>
          <w:szCs w:val="22"/>
        </w:rPr>
        <w:t xml:space="preserve">General attributes required of Committee Members </w:t>
      </w:r>
    </w:p>
    <w:p w14:paraId="398CED17" w14:textId="77777777" w:rsidR="00746702" w:rsidRPr="00D92464" w:rsidRDefault="00746702" w:rsidP="00746702">
      <w:pPr>
        <w:rPr>
          <w:sz w:val="20"/>
          <w:szCs w:val="20"/>
        </w:rPr>
      </w:pPr>
    </w:p>
    <w:p w14:paraId="6E704B31" w14:textId="77777777" w:rsidR="00746702" w:rsidRPr="00D92464" w:rsidRDefault="00746702" w:rsidP="00AB2229">
      <w:pPr>
        <w:spacing w:after="240"/>
        <w:rPr>
          <w:sz w:val="20"/>
          <w:szCs w:val="20"/>
        </w:rPr>
      </w:pPr>
      <w:r w:rsidRPr="00D92464">
        <w:rPr>
          <w:sz w:val="20"/>
          <w:szCs w:val="20"/>
        </w:rPr>
        <w:t>Committee members are expected to demonstrate:</w:t>
      </w:r>
    </w:p>
    <w:p w14:paraId="65018DB6" w14:textId="77777777" w:rsidR="00746702" w:rsidRPr="00D92464" w:rsidRDefault="00746702" w:rsidP="00746702">
      <w:pPr>
        <w:numPr>
          <w:ilvl w:val="0"/>
          <w:numId w:val="36"/>
        </w:numPr>
        <w:rPr>
          <w:sz w:val="20"/>
          <w:szCs w:val="20"/>
        </w:rPr>
      </w:pPr>
      <w:r w:rsidRPr="00D92464">
        <w:rPr>
          <w:sz w:val="20"/>
          <w:szCs w:val="20"/>
        </w:rPr>
        <w:t xml:space="preserve">Integrity and accountability – dedication to fulfilling a </w:t>
      </w:r>
      <w:proofErr w:type="gramStart"/>
      <w:r w:rsidRPr="00D92464">
        <w:rPr>
          <w:sz w:val="20"/>
          <w:szCs w:val="20"/>
        </w:rPr>
        <w:t>members</w:t>
      </w:r>
      <w:proofErr w:type="gramEnd"/>
      <w:r w:rsidRPr="00D92464">
        <w:rPr>
          <w:sz w:val="20"/>
          <w:szCs w:val="20"/>
        </w:rPr>
        <w:t xml:space="preserve"> duties and responsibilities, putting the CYPDRC interests before personal interests and acting ethically</w:t>
      </w:r>
    </w:p>
    <w:p w14:paraId="07A66326" w14:textId="77777777" w:rsidR="00746702" w:rsidRPr="00D92464" w:rsidRDefault="00746702" w:rsidP="00746702">
      <w:pPr>
        <w:numPr>
          <w:ilvl w:val="0"/>
          <w:numId w:val="36"/>
        </w:numPr>
        <w:rPr>
          <w:sz w:val="20"/>
          <w:szCs w:val="20"/>
        </w:rPr>
      </w:pPr>
      <w:r w:rsidRPr="00D92464">
        <w:rPr>
          <w:sz w:val="20"/>
          <w:szCs w:val="20"/>
        </w:rPr>
        <w:t>Effective teamwork – the ability to work well in a group, listen well, be open to different views, be tactful but able to communicate a point of view frankly</w:t>
      </w:r>
    </w:p>
    <w:p w14:paraId="15366F17" w14:textId="77777777" w:rsidR="002C725F" w:rsidRPr="00D92464" w:rsidRDefault="00746702" w:rsidP="00746702">
      <w:pPr>
        <w:numPr>
          <w:ilvl w:val="0"/>
          <w:numId w:val="36"/>
        </w:numPr>
        <w:rPr>
          <w:sz w:val="20"/>
          <w:szCs w:val="20"/>
        </w:rPr>
      </w:pPr>
      <w:r w:rsidRPr="00D92464">
        <w:rPr>
          <w:sz w:val="20"/>
          <w:szCs w:val="20"/>
        </w:rPr>
        <w:t>Confidence to provide constructive challenge and oversight - the curiosity to ask questions and the courage to persist in asking, and to challenge management and fellow Committee members where necessary</w:t>
      </w:r>
    </w:p>
    <w:p w14:paraId="6450875E" w14:textId="77777777" w:rsidR="00742CF1" w:rsidRPr="00D92464" w:rsidRDefault="00DE2799" w:rsidP="00746702">
      <w:pPr>
        <w:numPr>
          <w:ilvl w:val="0"/>
          <w:numId w:val="36"/>
        </w:numPr>
        <w:rPr>
          <w:sz w:val="20"/>
          <w:szCs w:val="20"/>
        </w:rPr>
      </w:pPr>
      <w:r w:rsidRPr="00D92464">
        <w:rPr>
          <w:sz w:val="20"/>
          <w:szCs w:val="20"/>
        </w:rPr>
        <w:t>S</w:t>
      </w:r>
      <w:r w:rsidR="00746702" w:rsidRPr="00D92464">
        <w:rPr>
          <w:sz w:val="20"/>
          <w:szCs w:val="20"/>
        </w:rPr>
        <w:t xml:space="preserve">ensitivity </w:t>
      </w:r>
      <w:proofErr w:type="gramStart"/>
      <w:r w:rsidRPr="00D92464">
        <w:rPr>
          <w:sz w:val="20"/>
          <w:szCs w:val="20"/>
        </w:rPr>
        <w:t xml:space="preserve">- </w:t>
      </w:r>
      <w:r w:rsidR="00746702" w:rsidRPr="00D92464">
        <w:rPr>
          <w:sz w:val="20"/>
          <w:szCs w:val="20"/>
        </w:rPr>
        <w:t xml:space="preserve"> </w:t>
      </w:r>
      <w:r w:rsidR="003832E9" w:rsidRPr="00D92464">
        <w:rPr>
          <w:sz w:val="20"/>
          <w:szCs w:val="20"/>
        </w:rPr>
        <w:t>to</w:t>
      </w:r>
      <w:proofErr w:type="gramEnd"/>
      <w:r w:rsidR="003832E9" w:rsidRPr="00D92464">
        <w:rPr>
          <w:sz w:val="20"/>
          <w:szCs w:val="20"/>
        </w:rPr>
        <w:t xml:space="preserve"> the difficult and sometimes distressing </w:t>
      </w:r>
      <w:r w:rsidR="00AD70B3" w:rsidRPr="00D92464">
        <w:rPr>
          <w:sz w:val="20"/>
          <w:szCs w:val="20"/>
        </w:rPr>
        <w:t xml:space="preserve">confidential  information </w:t>
      </w:r>
      <w:r w:rsidR="003832E9" w:rsidRPr="00D92464">
        <w:rPr>
          <w:sz w:val="20"/>
          <w:szCs w:val="20"/>
        </w:rPr>
        <w:t xml:space="preserve">provided to the CYPDRC </w:t>
      </w:r>
      <w:r w:rsidR="00AD70B3" w:rsidRPr="00D92464">
        <w:rPr>
          <w:sz w:val="20"/>
          <w:szCs w:val="20"/>
        </w:rPr>
        <w:t xml:space="preserve">about the deaths of children and young people </w:t>
      </w:r>
    </w:p>
    <w:p w14:paraId="0065FBF7" w14:textId="77777777" w:rsidR="00746702" w:rsidRDefault="00746702" w:rsidP="003832E9">
      <w:pPr>
        <w:pStyle w:val="Heading2"/>
      </w:pPr>
    </w:p>
    <w:p w14:paraId="637FEBE6" w14:textId="77777777" w:rsidR="00746702" w:rsidRPr="00D92464" w:rsidRDefault="00746702" w:rsidP="003832E9">
      <w:pPr>
        <w:pStyle w:val="Heading2"/>
        <w:rPr>
          <w:sz w:val="22"/>
          <w:szCs w:val="22"/>
        </w:rPr>
      </w:pPr>
      <w:r w:rsidRPr="00D92464">
        <w:rPr>
          <w:sz w:val="22"/>
          <w:szCs w:val="22"/>
        </w:rPr>
        <w:t xml:space="preserve">Minimum competencies required of all </w:t>
      </w:r>
      <w:r w:rsidR="00505A9B" w:rsidRPr="00D92464">
        <w:rPr>
          <w:sz w:val="22"/>
          <w:szCs w:val="22"/>
        </w:rPr>
        <w:t>Committee Members</w:t>
      </w:r>
    </w:p>
    <w:p w14:paraId="3D89C719" w14:textId="77777777" w:rsidR="00746702" w:rsidRPr="0001541F" w:rsidRDefault="00746702" w:rsidP="00746702">
      <w:pPr>
        <w:rPr>
          <w:sz w:val="20"/>
          <w:szCs w:val="20"/>
        </w:rPr>
      </w:pPr>
    </w:p>
    <w:p w14:paraId="69A7EB90" w14:textId="77777777" w:rsidR="00746702" w:rsidRPr="00D92464" w:rsidRDefault="00746702" w:rsidP="00746702">
      <w:pPr>
        <w:rPr>
          <w:sz w:val="20"/>
          <w:szCs w:val="20"/>
        </w:rPr>
      </w:pPr>
      <w:r w:rsidRPr="00D92464">
        <w:rPr>
          <w:sz w:val="20"/>
          <w:szCs w:val="20"/>
        </w:rPr>
        <w:t>All Committee members are required to have:</w:t>
      </w:r>
    </w:p>
    <w:p w14:paraId="6A04D936" w14:textId="77777777" w:rsidR="00746702" w:rsidRPr="00D92464" w:rsidRDefault="00746702" w:rsidP="00746702">
      <w:pPr>
        <w:rPr>
          <w:sz w:val="20"/>
          <w:szCs w:val="20"/>
        </w:rPr>
      </w:pPr>
    </w:p>
    <w:p w14:paraId="570DEE04" w14:textId="77777777" w:rsidR="00746702" w:rsidRPr="00D92464" w:rsidRDefault="00AD70B3" w:rsidP="00746702">
      <w:pPr>
        <w:numPr>
          <w:ilvl w:val="0"/>
          <w:numId w:val="38"/>
        </w:numPr>
        <w:rPr>
          <w:sz w:val="20"/>
          <w:szCs w:val="20"/>
        </w:rPr>
      </w:pPr>
      <w:r w:rsidRPr="00D92464">
        <w:rPr>
          <w:sz w:val="20"/>
          <w:szCs w:val="20"/>
        </w:rPr>
        <w:t>S</w:t>
      </w:r>
      <w:r w:rsidR="00746702" w:rsidRPr="00D92464">
        <w:rPr>
          <w:sz w:val="20"/>
          <w:szCs w:val="20"/>
        </w:rPr>
        <w:t xml:space="preserve">ufficient legal literacy to understand the </w:t>
      </w:r>
      <w:r w:rsidRPr="00D92464">
        <w:rPr>
          <w:sz w:val="20"/>
          <w:szCs w:val="20"/>
        </w:rPr>
        <w:t>CYPDRC</w:t>
      </w:r>
      <w:r w:rsidR="00746702" w:rsidRPr="00D92464">
        <w:rPr>
          <w:sz w:val="20"/>
          <w:szCs w:val="20"/>
        </w:rPr>
        <w:t xml:space="preserve">’s primary obligations under its constituting legislation </w:t>
      </w:r>
    </w:p>
    <w:p w14:paraId="4C7103E4" w14:textId="77777777" w:rsidR="002C725F" w:rsidRPr="00D92464" w:rsidRDefault="00AD70B3" w:rsidP="002C725F">
      <w:pPr>
        <w:numPr>
          <w:ilvl w:val="0"/>
          <w:numId w:val="38"/>
        </w:numPr>
        <w:rPr>
          <w:sz w:val="20"/>
          <w:szCs w:val="20"/>
        </w:rPr>
      </w:pPr>
      <w:r w:rsidRPr="00D92464">
        <w:rPr>
          <w:sz w:val="20"/>
          <w:szCs w:val="20"/>
        </w:rPr>
        <w:t>Sufficient</w:t>
      </w:r>
      <w:r w:rsidR="00746702" w:rsidRPr="00D92464">
        <w:rPr>
          <w:sz w:val="20"/>
          <w:szCs w:val="20"/>
        </w:rPr>
        <w:t xml:space="preserve"> governance skills to understand the role of the </w:t>
      </w:r>
      <w:r w:rsidR="00952E34" w:rsidRPr="00D92464">
        <w:rPr>
          <w:sz w:val="20"/>
          <w:szCs w:val="20"/>
        </w:rPr>
        <w:t>CYPDRC</w:t>
      </w:r>
      <w:r w:rsidR="00746702" w:rsidRPr="00D92464">
        <w:rPr>
          <w:sz w:val="20"/>
          <w:szCs w:val="20"/>
        </w:rPr>
        <w:t xml:space="preserve"> and the accountability mechanisms for the </w:t>
      </w:r>
      <w:r w:rsidR="00952E34" w:rsidRPr="00D92464">
        <w:rPr>
          <w:sz w:val="20"/>
          <w:szCs w:val="20"/>
        </w:rPr>
        <w:t>CYPDRC</w:t>
      </w:r>
      <w:r w:rsidR="00746702" w:rsidRPr="00D92464">
        <w:rPr>
          <w:sz w:val="20"/>
          <w:szCs w:val="20"/>
        </w:rPr>
        <w:t xml:space="preserve">, including the </w:t>
      </w:r>
      <w:r w:rsidR="00952E34" w:rsidRPr="00D92464">
        <w:rPr>
          <w:sz w:val="20"/>
          <w:szCs w:val="20"/>
        </w:rPr>
        <w:t>CYPDRC’s</w:t>
      </w:r>
      <w:r w:rsidR="00746702" w:rsidRPr="00D92464">
        <w:rPr>
          <w:sz w:val="20"/>
          <w:szCs w:val="20"/>
        </w:rPr>
        <w:t xml:space="preserve"> ultimate accountability to the Minister </w:t>
      </w:r>
      <w:r w:rsidRPr="00D92464">
        <w:rPr>
          <w:sz w:val="20"/>
          <w:szCs w:val="20"/>
        </w:rPr>
        <w:t xml:space="preserve">for </w:t>
      </w:r>
      <w:r w:rsidR="00952E34" w:rsidRPr="00D92464">
        <w:rPr>
          <w:sz w:val="20"/>
          <w:szCs w:val="20"/>
        </w:rPr>
        <w:t>Disability</w:t>
      </w:r>
      <w:r w:rsidRPr="00D92464">
        <w:rPr>
          <w:sz w:val="20"/>
          <w:szCs w:val="20"/>
        </w:rPr>
        <w:t>, Children and Youth</w:t>
      </w:r>
      <w:r w:rsidR="00746702" w:rsidRPr="00D92464">
        <w:rPr>
          <w:sz w:val="20"/>
          <w:szCs w:val="20"/>
        </w:rPr>
        <w:t>.</w:t>
      </w:r>
    </w:p>
    <w:p w14:paraId="26AF2602" w14:textId="77777777" w:rsidR="00505A9B" w:rsidRDefault="00505A9B" w:rsidP="00505A9B"/>
    <w:p w14:paraId="2851EEF3" w14:textId="77777777" w:rsidR="007069FE" w:rsidRPr="00D92464" w:rsidRDefault="002C725F" w:rsidP="00B77ADB">
      <w:pPr>
        <w:pStyle w:val="Heading1"/>
        <w:shd w:val="clear" w:color="auto" w:fill="1F3864"/>
        <w:rPr>
          <w:sz w:val="22"/>
          <w:szCs w:val="22"/>
        </w:rPr>
      </w:pPr>
      <w:r w:rsidRPr="00D92464">
        <w:rPr>
          <w:sz w:val="22"/>
          <w:szCs w:val="22"/>
        </w:rPr>
        <w:t>Selection Criteria</w:t>
      </w:r>
    </w:p>
    <w:p w14:paraId="6A489A0B" w14:textId="77777777" w:rsidR="002C725F" w:rsidRPr="00D92464" w:rsidRDefault="00742CF1" w:rsidP="00316A01">
      <w:pPr>
        <w:rPr>
          <w:sz w:val="20"/>
          <w:szCs w:val="20"/>
        </w:rPr>
      </w:pPr>
      <w:r w:rsidRPr="00D92464">
        <w:rPr>
          <w:sz w:val="20"/>
          <w:szCs w:val="20"/>
        </w:rPr>
        <w:t>In addition to the required attributes and competencies outlined above, t</w:t>
      </w:r>
      <w:r w:rsidR="00AD70B3" w:rsidRPr="00D92464">
        <w:rPr>
          <w:sz w:val="20"/>
          <w:szCs w:val="20"/>
        </w:rPr>
        <w:t xml:space="preserve">he following selection criteria are required to be addressed as part of the </w:t>
      </w:r>
      <w:r w:rsidR="0008498D" w:rsidRPr="00D92464">
        <w:rPr>
          <w:sz w:val="20"/>
          <w:szCs w:val="20"/>
        </w:rPr>
        <w:t>expression of interest</w:t>
      </w:r>
      <w:r w:rsidR="00AD70B3" w:rsidRPr="00D92464">
        <w:rPr>
          <w:sz w:val="20"/>
          <w:szCs w:val="20"/>
        </w:rPr>
        <w:t xml:space="preserve"> sub</w:t>
      </w:r>
      <w:r w:rsidR="0008498D" w:rsidRPr="00D92464">
        <w:rPr>
          <w:sz w:val="20"/>
          <w:szCs w:val="20"/>
        </w:rPr>
        <w:t>mitted by interested candidates.</w:t>
      </w:r>
    </w:p>
    <w:p w14:paraId="7E4A99EB" w14:textId="77777777" w:rsidR="0008498D" w:rsidRPr="00D92464" w:rsidRDefault="0008498D" w:rsidP="00316A01">
      <w:pPr>
        <w:rPr>
          <w:sz w:val="20"/>
          <w:szCs w:val="20"/>
        </w:rPr>
      </w:pPr>
    </w:p>
    <w:p w14:paraId="0EFFCB3A" w14:textId="77777777" w:rsidR="0008498D" w:rsidRPr="00D92464" w:rsidRDefault="0008498D" w:rsidP="00316A01">
      <w:pPr>
        <w:rPr>
          <w:sz w:val="20"/>
          <w:szCs w:val="20"/>
        </w:rPr>
      </w:pPr>
      <w:r w:rsidRPr="00D92464">
        <w:rPr>
          <w:sz w:val="20"/>
          <w:szCs w:val="20"/>
        </w:rPr>
        <w:t>1)</w:t>
      </w:r>
      <w:r w:rsidR="00CA3CDF" w:rsidRPr="00D92464">
        <w:rPr>
          <w:sz w:val="20"/>
          <w:szCs w:val="20"/>
        </w:rPr>
        <w:t xml:space="preserve"> P</w:t>
      </w:r>
      <w:r w:rsidRPr="00D92464">
        <w:rPr>
          <w:sz w:val="20"/>
          <w:szCs w:val="20"/>
        </w:rPr>
        <w:t>ossession of demonstrable expertise or qualifications</w:t>
      </w:r>
      <w:r w:rsidR="00742CF1" w:rsidRPr="00D92464">
        <w:rPr>
          <w:sz w:val="20"/>
          <w:szCs w:val="20"/>
        </w:rPr>
        <w:t xml:space="preserve"> and continuing high levels of performance in your field of endeavour </w:t>
      </w:r>
      <w:r w:rsidRPr="00D92464">
        <w:rPr>
          <w:sz w:val="20"/>
          <w:szCs w:val="20"/>
        </w:rPr>
        <w:t>in relation to one or more of the following disciplines is required:</w:t>
      </w:r>
    </w:p>
    <w:p w14:paraId="0624377B" w14:textId="77777777" w:rsidR="002C725F" w:rsidRPr="00D92464" w:rsidRDefault="002C725F" w:rsidP="00316A01">
      <w:pPr>
        <w:rPr>
          <w:sz w:val="20"/>
          <w:szCs w:val="20"/>
        </w:rPr>
      </w:pPr>
    </w:p>
    <w:p w14:paraId="36712122" w14:textId="77777777" w:rsidR="008B3809" w:rsidRPr="00D92464" w:rsidRDefault="008B3809" w:rsidP="00FB34AC">
      <w:pPr>
        <w:numPr>
          <w:ilvl w:val="0"/>
          <w:numId w:val="32"/>
        </w:numPr>
        <w:ind w:left="284" w:right="-483" w:hanging="142"/>
        <w:rPr>
          <w:sz w:val="20"/>
          <w:szCs w:val="20"/>
        </w:rPr>
      </w:pPr>
      <w:proofErr w:type="gramStart"/>
      <w:r w:rsidRPr="00D92464">
        <w:rPr>
          <w:sz w:val="20"/>
          <w:szCs w:val="20"/>
        </w:rPr>
        <w:t>psychology;</w:t>
      </w:r>
      <w:proofErr w:type="gramEnd"/>
    </w:p>
    <w:p w14:paraId="2D10D8B7" w14:textId="77777777" w:rsidR="008B3809" w:rsidRPr="00D92464" w:rsidRDefault="008B3809" w:rsidP="00FB34AC">
      <w:pPr>
        <w:numPr>
          <w:ilvl w:val="0"/>
          <w:numId w:val="32"/>
        </w:numPr>
        <w:ind w:left="284" w:hanging="142"/>
        <w:rPr>
          <w:sz w:val="20"/>
          <w:szCs w:val="20"/>
        </w:rPr>
      </w:pPr>
      <w:proofErr w:type="gramStart"/>
      <w:r w:rsidRPr="00D92464">
        <w:rPr>
          <w:sz w:val="20"/>
          <w:szCs w:val="20"/>
        </w:rPr>
        <w:t>paediatrics;</w:t>
      </w:r>
      <w:proofErr w:type="gramEnd"/>
    </w:p>
    <w:p w14:paraId="7A56A344" w14:textId="77777777" w:rsidR="008B3809" w:rsidRPr="00D92464" w:rsidRDefault="008B3809" w:rsidP="00FB34AC">
      <w:pPr>
        <w:numPr>
          <w:ilvl w:val="0"/>
          <w:numId w:val="32"/>
        </w:numPr>
        <w:ind w:left="284" w:hanging="142"/>
        <w:rPr>
          <w:sz w:val="20"/>
          <w:szCs w:val="20"/>
        </w:rPr>
      </w:pPr>
      <w:proofErr w:type="gramStart"/>
      <w:r w:rsidRPr="00D92464">
        <w:rPr>
          <w:sz w:val="20"/>
          <w:szCs w:val="20"/>
        </w:rPr>
        <w:t>epidemiology;</w:t>
      </w:r>
      <w:proofErr w:type="gramEnd"/>
    </w:p>
    <w:p w14:paraId="68C27025" w14:textId="77777777" w:rsidR="008B3809" w:rsidRPr="00D92464" w:rsidRDefault="008B3809" w:rsidP="00FB34AC">
      <w:pPr>
        <w:numPr>
          <w:ilvl w:val="0"/>
          <w:numId w:val="32"/>
        </w:numPr>
        <w:ind w:left="284" w:hanging="142"/>
        <w:rPr>
          <w:sz w:val="20"/>
          <w:szCs w:val="20"/>
        </w:rPr>
      </w:pPr>
      <w:r w:rsidRPr="00D92464">
        <w:rPr>
          <w:sz w:val="20"/>
          <w:szCs w:val="20"/>
        </w:rPr>
        <w:t xml:space="preserve">public health </w:t>
      </w:r>
      <w:proofErr w:type="gramStart"/>
      <w:r w:rsidRPr="00D92464">
        <w:rPr>
          <w:sz w:val="20"/>
          <w:szCs w:val="20"/>
        </w:rPr>
        <w:t>administration;</w:t>
      </w:r>
      <w:proofErr w:type="gramEnd"/>
    </w:p>
    <w:p w14:paraId="065532CE" w14:textId="77777777" w:rsidR="008B3809" w:rsidRPr="00D92464" w:rsidRDefault="008B3809" w:rsidP="00FB34AC">
      <w:pPr>
        <w:numPr>
          <w:ilvl w:val="0"/>
          <w:numId w:val="32"/>
        </w:numPr>
        <w:ind w:left="284" w:hanging="142"/>
        <w:rPr>
          <w:sz w:val="20"/>
          <w:szCs w:val="20"/>
        </w:rPr>
      </w:pPr>
      <w:r w:rsidRPr="00D92464">
        <w:rPr>
          <w:sz w:val="20"/>
          <w:szCs w:val="20"/>
        </w:rPr>
        <w:t xml:space="preserve">engineering and child safety products or </w:t>
      </w:r>
      <w:proofErr w:type="gramStart"/>
      <w:r w:rsidRPr="00D92464">
        <w:rPr>
          <w:sz w:val="20"/>
          <w:szCs w:val="20"/>
        </w:rPr>
        <w:t>systems;</w:t>
      </w:r>
      <w:proofErr w:type="gramEnd"/>
    </w:p>
    <w:p w14:paraId="0D8AC9E1" w14:textId="77777777" w:rsidR="008B3809" w:rsidRPr="00D92464" w:rsidRDefault="008B3809" w:rsidP="00FB34AC">
      <w:pPr>
        <w:numPr>
          <w:ilvl w:val="0"/>
          <w:numId w:val="32"/>
        </w:numPr>
        <w:ind w:left="284" w:hanging="142"/>
        <w:rPr>
          <w:sz w:val="20"/>
          <w:szCs w:val="20"/>
        </w:rPr>
      </w:pPr>
      <w:r w:rsidRPr="00D92464">
        <w:rPr>
          <w:sz w:val="20"/>
          <w:szCs w:val="20"/>
        </w:rPr>
        <w:t xml:space="preserve">working with Aboriginal and Torres Strait Islander children and young </w:t>
      </w:r>
      <w:proofErr w:type="gramStart"/>
      <w:r w:rsidRPr="00D92464">
        <w:rPr>
          <w:sz w:val="20"/>
          <w:szCs w:val="20"/>
        </w:rPr>
        <w:t>people;</w:t>
      </w:r>
      <w:proofErr w:type="gramEnd"/>
    </w:p>
    <w:p w14:paraId="206F6354" w14:textId="77777777" w:rsidR="008B3809" w:rsidRPr="00D92464" w:rsidRDefault="008B3809" w:rsidP="00FB34AC">
      <w:pPr>
        <w:numPr>
          <w:ilvl w:val="0"/>
          <w:numId w:val="32"/>
        </w:numPr>
        <w:ind w:left="284" w:hanging="142"/>
        <w:rPr>
          <w:sz w:val="20"/>
          <w:szCs w:val="20"/>
        </w:rPr>
      </w:pPr>
      <w:r w:rsidRPr="00D92464">
        <w:rPr>
          <w:sz w:val="20"/>
          <w:szCs w:val="20"/>
        </w:rPr>
        <w:t xml:space="preserve">social </w:t>
      </w:r>
      <w:proofErr w:type="gramStart"/>
      <w:r w:rsidRPr="00D92464">
        <w:rPr>
          <w:sz w:val="20"/>
          <w:szCs w:val="20"/>
        </w:rPr>
        <w:t>work;</w:t>
      </w:r>
      <w:proofErr w:type="gramEnd"/>
    </w:p>
    <w:p w14:paraId="6C4255E5" w14:textId="77777777" w:rsidR="008B3809" w:rsidRPr="00D92464" w:rsidRDefault="008B3809" w:rsidP="00FB34AC">
      <w:pPr>
        <w:numPr>
          <w:ilvl w:val="0"/>
          <w:numId w:val="32"/>
        </w:numPr>
        <w:ind w:left="284" w:hanging="142"/>
        <w:rPr>
          <w:sz w:val="20"/>
          <w:szCs w:val="20"/>
        </w:rPr>
      </w:pPr>
      <w:proofErr w:type="gramStart"/>
      <w:r w:rsidRPr="00D92464">
        <w:rPr>
          <w:sz w:val="20"/>
          <w:szCs w:val="20"/>
        </w:rPr>
        <w:t>investigations;</w:t>
      </w:r>
      <w:proofErr w:type="gramEnd"/>
    </w:p>
    <w:p w14:paraId="47E61DDD" w14:textId="77777777" w:rsidR="008B3809" w:rsidRPr="00D92464" w:rsidRDefault="008B3809" w:rsidP="00FB34AC">
      <w:pPr>
        <w:numPr>
          <w:ilvl w:val="0"/>
          <w:numId w:val="32"/>
        </w:numPr>
        <w:ind w:left="284" w:hanging="142"/>
        <w:rPr>
          <w:sz w:val="20"/>
          <w:szCs w:val="20"/>
        </w:rPr>
      </w:pPr>
      <w:r w:rsidRPr="00D92464">
        <w:rPr>
          <w:sz w:val="20"/>
          <w:szCs w:val="20"/>
        </w:rPr>
        <w:t xml:space="preserve">mental </w:t>
      </w:r>
      <w:proofErr w:type="gramStart"/>
      <w:r w:rsidRPr="00D92464">
        <w:rPr>
          <w:sz w:val="20"/>
          <w:szCs w:val="20"/>
        </w:rPr>
        <w:t>health;</w:t>
      </w:r>
      <w:proofErr w:type="gramEnd"/>
    </w:p>
    <w:p w14:paraId="621481DF" w14:textId="77777777" w:rsidR="008B3809" w:rsidRPr="00D92464" w:rsidRDefault="008B3809" w:rsidP="00FB34AC">
      <w:pPr>
        <w:numPr>
          <w:ilvl w:val="0"/>
          <w:numId w:val="32"/>
        </w:numPr>
        <w:ind w:left="284" w:hanging="142"/>
        <w:rPr>
          <w:sz w:val="20"/>
          <w:szCs w:val="20"/>
        </w:rPr>
      </w:pPr>
      <w:r w:rsidRPr="00D92464">
        <w:rPr>
          <w:sz w:val="20"/>
          <w:szCs w:val="20"/>
        </w:rPr>
        <w:t>child protection; or</w:t>
      </w:r>
    </w:p>
    <w:p w14:paraId="47C73901" w14:textId="77777777" w:rsidR="008B3809" w:rsidRPr="00D92464" w:rsidRDefault="008B3809" w:rsidP="00FB34AC">
      <w:pPr>
        <w:numPr>
          <w:ilvl w:val="0"/>
          <w:numId w:val="32"/>
        </w:numPr>
        <w:ind w:left="284" w:hanging="142"/>
        <w:rPr>
          <w:sz w:val="20"/>
          <w:szCs w:val="20"/>
        </w:rPr>
      </w:pPr>
      <w:r w:rsidRPr="00D92464">
        <w:rPr>
          <w:sz w:val="20"/>
          <w:szCs w:val="20"/>
        </w:rPr>
        <w:t>has other qualifications, experience or expertise, or membership of an organisation, relevant to exercising the functions of a committee member</w:t>
      </w:r>
      <w:r w:rsidR="009D0A3C" w:rsidRPr="00D92464">
        <w:rPr>
          <w:sz w:val="20"/>
          <w:szCs w:val="20"/>
        </w:rPr>
        <w:t>.</w:t>
      </w:r>
    </w:p>
    <w:p w14:paraId="40E2B1E8" w14:textId="77777777" w:rsidR="0008498D" w:rsidRPr="00D92464" w:rsidRDefault="0008498D" w:rsidP="0008498D">
      <w:pPr>
        <w:rPr>
          <w:sz w:val="20"/>
          <w:szCs w:val="20"/>
        </w:rPr>
      </w:pPr>
    </w:p>
    <w:p w14:paraId="53CFE340" w14:textId="77777777" w:rsidR="0008498D" w:rsidRPr="00D92464" w:rsidRDefault="00742CF1" w:rsidP="0008498D">
      <w:pPr>
        <w:rPr>
          <w:sz w:val="20"/>
          <w:szCs w:val="20"/>
        </w:rPr>
      </w:pPr>
      <w:r w:rsidRPr="00D92464">
        <w:rPr>
          <w:sz w:val="20"/>
          <w:szCs w:val="20"/>
        </w:rPr>
        <w:t>2</w:t>
      </w:r>
      <w:r w:rsidR="00AB2229" w:rsidRPr="00D92464">
        <w:rPr>
          <w:sz w:val="20"/>
          <w:szCs w:val="20"/>
        </w:rPr>
        <w:t>)</w:t>
      </w:r>
      <w:r w:rsidR="0008498D" w:rsidRPr="00D92464">
        <w:rPr>
          <w:sz w:val="20"/>
          <w:szCs w:val="20"/>
        </w:rPr>
        <w:t xml:space="preserve"> </w:t>
      </w:r>
      <w:r w:rsidR="001A38B7" w:rsidRPr="00D92464">
        <w:rPr>
          <w:sz w:val="20"/>
          <w:szCs w:val="20"/>
        </w:rPr>
        <w:t>Focuses strategically, takes a</w:t>
      </w:r>
      <w:r w:rsidR="0008498D" w:rsidRPr="00D92464">
        <w:rPr>
          <w:sz w:val="20"/>
          <w:szCs w:val="20"/>
        </w:rPr>
        <w:t xml:space="preserve"> broader policy context </w:t>
      </w:r>
      <w:r w:rsidR="001A38B7" w:rsidRPr="00D92464">
        <w:rPr>
          <w:sz w:val="20"/>
          <w:szCs w:val="20"/>
        </w:rPr>
        <w:t>about</w:t>
      </w:r>
      <w:r w:rsidR="0008498D" w:rsidRPr="00D92464">
        <w:rPr>
          <w:sz w:val="20"/>
          <w:szCs w:val="20"/>
        </w:rPr>
        <w:t xml:space="preserve"> issues surrounding the delivery and planning of public health and/or community services, including to those marginalised or disadvantaged in the community such as Aboriginal and Torres Strait Islander peoples, cultura</w:t>
      </w:r>
      <w:r w:rsidR="00D53471" w:rsidRPr="00D92464">
        <w:rPr>
          <w:sz w:val="20"/>
          <w:szCs w:val="20"/>
        </w:rPr>
        <w:t xml:space="preserve">lly and linguistically diverse </w:t>
      </w:r>
      <w:r w:rsidR="0008498D" w:rsidRPr="00D92464">
        <w:rPr>
          <w:sz w:val="20"/>
          <w:szCs w:val="20"/>
        </w:rPr>
        <w:t>families and people with a disability.</w:t>
      </w:r>
    </w:p>
    <w:p w14:paraId="694E0383" w14:textId="77777777" w:rsidR="0008498D" w:rsidRPr="00D92464" w:rsidRDefault="0008498D" w:rsidP="0008498D">
      <w:pPr>
        <w:rPr>
          <w:sz w:val="20"/>
          <w:szCs w:val="20"/>
        </w:rPr>
      </w:pPr>
    </w:p>
    <w:p w14:paraId="70E99CB1" w14:textId="77777777" w:rsidR="0008498D" w:rsidRPr="00D92464" w:rsidRDefault="00742CF1" w:rsidP="0008498D">
      <w:pPr>
        <w:rPr>
          <w:sz w:val="20"/>
          <w:szCs w:val="20"/>
        </w:rPr>
      </w:pPr>
      <w:r w:rsidRPr="00D92464">
        <w:rPr>
          <w:sz w:val="20"/>
          <w:szCs w:val="20"/>
        </w:rPr>
        <w:lastRenderedPageBreak/>
        <w:t>3) Ability to objectively use and interpret complex information and data – understanding the need for information on which to base decisions and the ability to use it to get to the crux of the issue quickly.</w:t>
      </w:r>
    </w:p>
    <w:p w14:paraId="4D2D25EA" w14:textId="77777777" w:rsidR="00CA3CDF" w:rsidRDefault="00CA3CDF" w:rsidP="0008498D"/>
    <w:p w14:paraId="58146656" w14:textId="77777777" w:rsidR="001A0A93" w:rsidRPr="00D92464" w:rsidRDefault="001A0A93" w:rsidP="001A0A93">
      <w:pPr>
        <w:pStyle w:val="DHSGuidelinesHeading2"/>
        <w:rPr>
          <w:sz w:val="22"/>
          <w:szCs w:val="22"/>
        </w:rPr>
      </w:pPr>
      <w:r w:rsidRPr="00D92464">
        <w:rPr>
          <w:sz w:val="22"/>
          <w:szCs w:val="22"/>
        </w:rPr>
        <w:t>How to apply</w:t>
      </w:r>
    </w:p>
    <w:p w14:paraId="21A6D367" w14:textId="77777777" w:rsidR="009D0A3C" w:rsidRPr="00D92464" w:rsidRDefault="001A0A93" w:rsidP="009D0A3C">
      <w:pPr>
        <w:rPr>
          <w:rStyle w:val="Hyperlink"/>
          <w:rFonts w:ascii="Century Gothic" w:hAnsi="Century Gothic"/>
          <w:sz w:val="20"/>
          <w:szCs w:val="20"/>
        </w:rPr>
      </w:pPr>
      <w:r w:rsidRPr="00D92464">
        <w:rPr>
          <w:sz w:val="20"/>
          <w:szCs w:val="20"/>
        </w:rPr>
        <w:t xml:space="preserve">To apply, applicants are asked to submit an expression of interest </w:t>
      </w:r>
      <w:r w:rsidR="009D0A3C" w:rsidRPr="00D92464">
        <w:rPr>
          <w:sz w:val="20"/>
          <w:szCs w:val="20"/>
        </w:rPr>
        <w:t xml:space="preserve">(maximum four A4 pages) detailing their qualifications, experience and expertise against the selection criteria, a current Curriculum Vitae and </w:t>
      </w:r>
      <w:r w:rsidR="00F72A44" w:rsidRPr="00D92464">
        <w:rPr>
          <w:sz w:val="20"/>
          <w:szCs w:val="20"/>
        </w:rPr>
        <w:t>one</w:t>
      </w:r>
      <w:r w:rsidR="009D0A3C" w:rsidRPr="00D92464">
        <w:rPr>
          <w:sz w:val="20"/>
          <w:szCs w:val="20"/>
        </w:rPr>
        <w:t xml:space="preserve"> current written reference. </w:t>
      </w:r>
      <w:r w:rsidR="00F72A44" w:rsidRPr="00D92464">
        <w:rPr>
          <w:sz w:val="20"/>
          <w:szCs w:val="20"/>
        </w:rPr>
        <w:t xml:space="preserve">References are not required for current Committee members </w:t>
      </w:r>
      <w:r w:rsidR="00D53471" w:rsidRPr="00D92464">
        <w:rPr>
          <w:sz w:val="20"/>
          <w:szCs w:val="20"/>
        </w:rPr>
        <w:t>wishing to reapply</w:t>
      </w:r>
      <w:r w:rsidR="00F72A44" w:rsidRPr="00D92464">
        <w:rPr>
          <w:sz w:val="20"/>
          <w:szCs w:val="20"/>
        </w:rPr>
        <w:t xml:space="preserve">. </w:t>
      </w:r>
      <w:r w:rsidR="009D0A3C" w:rsidRPr="00D92464">
        <w:rPr>
          <w:sz w:val="20"/>
          <w:szCs w:val="20"/>
        </w:rPr>
        <w:t xml:space="preserve">Selection may be based on application and referee reports only. A copy of the selection documentation is available on the CYPDRC website </w:t>
      </w:r>
      <w:hyperlink r:id="rId10" w:history="1">
        <w:r w:rsidR="009D0A3C" w:rsidRPr="00D92464">
          <w:rPr>
            <w:rStyle w:val="Hyperlink"/>
            <w:sz w:val="20"/>
            <w:szCs w:val="20"/>
          </w:rPr>
          <w:t>https://www.childdeathcommittee.act.gov.au</w:t>
        </w:r>
      </w:hyperlink>
      <w:r w:rsidR="009D0A3C" w:rsidRPr="00D92464">
        <w:rPr>
          <w:rStyle w:val="Hyperlink"/>
          <w:rFonts w:ascii="Century Gothic" w:hAnsi="Century Gothic"/>
          <w:sz w:val="20"/>
          <w:szCs w:val="20"/>
        </w:rPr>
        <w:t>.</w:t>
      </w:r>
    </w:p>
    <w:p w14:paraId="1808C7F3" w14:textId="77777777" w:rsidR="009D0A3C" w:rsidRPr="00D92464" w:rsidRDefault="009D0A3C" w:rsidP="009D0A3C">
      <w:pPr>
        <w:rPr>
          <w:sz w:val="20"/>
          <w:szCs w:val="20"/>
        </w:rPr>
      </w:pPr>
    </w:p>
    <w:p w14:paraId="23EB6B3A" w14:textId="77777777" w:rsidR="009D0A3C" w:rsidRPr="00D92464" w:rsidRDefault="009D0A3C" w:rsidP="009D0A3C">
      <w:pPr>
        <w:rPr>
          <w:rStyle w:val="Hyperlink"/>
          <w:rFonts w:ascii="Century Gothic" w:hAnsi="Century Gothic"/>
          <w:sz w:val="20"/>
          <w:szCs w:val="20"/>
        </w:rPr>
      </w:pPr>
      <w:r w:rsidRPr="00D92464">
        <w:rPr>
          <w:sz w:val="20"/>
          <w:szCs w:val="20"/>
        </w:rPr>
        <w:t xml:space="preserve">Expressions of interest are to be sent to: </w:t>
      </w:r>
      <w:hyperlink r:id="rId11" w:history="1">
        <w:r w:rsidRPr="00D92464">
          <w:rPr>
            <w:rStyle w:val="Hyperlink"/>
            <w:sz w:val="20"/>
            <w:szCs w:val="20"/>
          </w:rPr>
          <w:t>ChildDeathCommittee@act.gov.au</w:t>
        </w:r>
      </w:hyperlink>
    </w:p>
    <w:p w14:paraId="197D6185" w14:textId="77777777" w:rsidR="009D0A3C" w:rsidRPr="00D92464" w:rsidRDefault="009D0A3C" w:rsidP="009D0A3C">
      <w:pPr>
        <w:rPr>
          <w:sz w:val="20"/>
          <w:szCs w:val="20"/>
        </w:rPr>
      </w:pPr>
    </w:p>
    <w:p w14:paraId="7A12EFCC" w14:textId="77777777" w:rsidR="00D73242" w:rsidRPr="00D92464" w:rsidRDefault="00D73242" w:rsidP="009D0A3C">
      <w:pPr>
        <w:rPr>
          <w:sz w:val="20"/>
          <w:szCs w:val="20"/>
        </w:rPr>
      </w:pPr>
      <w:r w:rsidRPr="00D92464">
        <w:rPr>
          <w:sz w:val="20"/>
          <w:szCs w:val="20"/>
        </w:rPr>
        <w:t>Information</w:t>
      </w:r>
      <w:r w:rsidR="009D0A3C" w:rsidRPr="00D92464">
        <w:rPr>
          <w:sz w:val="20"/>
          <w:szCs w:val="20"/>
        </w:rPr>
        <w:t xml:space="preserve"> can be obtained from </w:t>
      </w:r>
      <w:r w:rsidR="000A23F6" w:rsidRPr="00D92464">
        <w:rPr>
          <w:b/>
          <w:sz w:val="20"/>
          <w:szCs w:val="20"/>
        </w:rPr>
        <w:t>Will Constantine</w:t>
      </w:r>
      <w:r w:rsidR="009D0A3C" w:rsidRPr="00D92464">
        <w:rPr>
          <w:sz w:val="20"/>
          <w:szCs w:val="20"/>
        </w:rPr>
        <w:t xml:space="preserve"> </w:t>
      </w:r>
      <w:r w:rsidRPr="00D92464">
        <w:rPr>
          <w:sz w:val="20"/>
          <w:szCs w:val="20"/>
        </w:rPr>
        <w:t xml:space="preserve">at the above email address </w:t>
      </w:r>
    </w:p>
    <w:p w14:paraId="43866610" w14:textId="77777777" w:rsidR="00D73242" w:rsidRPr="00D92464" w:rsidRDefault="00D73242" w:rsidP="009D0A3C">
      <w:pPr>
        <w:rPr>
          <w:b/>
          <w:sz w:val="20"/>
          <w:szCs w:val="20"/>
        </w:rPr>
      </w:pPr>
    </w:p>
    <w:p w14:paraId="16063E85" w14:textId="77777777" w:rsidR="00D73242" w:rsidRPr="00D92464" w:rsidRDefault="009D0A3C" w:rsidP="001A0A93">
      <w:pPr>
        <w:rPr>
          <w:sz w:val="20"/>
          <w:szCs w:val="20"/>
        </w:rPr>
      </w:pPr>
      <w:r w:rsidRPr="00D92464">
        <w:rPr>
          <w:sz w:val="20"/>
          <w:szCs w:val="20"/>
        </w:rPr>
        <w:t xml:space="preserve">Applications close on </w:t>
      </w:r>
      <w:r w:rsidR="00D92464">
        <w:rPr>
          <w:b/>
          <w:sz w:val="20"/>
          <w:szCs w:val="20"/>
        </w:rPr>
        <w:t>5</w:t>
      </w:r>
      <w:r w:rsidR="00D73242" w:rsidRPr="00D92464">
        <w:rPr>
          <w:b/>
          <w:sz w:val="20"/>
          <w:szCs w:val="20"/>
        </w:rPr>
        <w:t xml:space="preserve"> October 2020</w:t>
      </w:r>
    </w:p>
    <w:p w14:paraId="08992B78" w14:textId="77777777" w:rsidR="00D73242" w:rsidRPr="00D92464" w:rsidRDefault="00D73242" w:rsidP="001A0A93">
      <w:pPr>
        <w:rPr>
          <w:sz w:val="20"/>
          <w:szCs w:val="20"/>
        </w:rPr>
      </w:pPr>
    </w:p>
    <w:p w14:paraId="77254214" w14:textId="77777777" w:rsidR="001A0A93" w:rsidRPr="00D92464" w:rsidRDefault="0001541F" w:rsidP="001A0A93">
      <w:pPr>
        <w:rPr>
          <w:sz w:val="20"/>
          <w:szCs w:val="20"/>
        </w:rPr>
      </w:pPr>
      <w:r w:rsidRPr="00D92464">
        <w:rPr>
          <w:b/>
          <w:sz w:val="20"/>
          <w:szCs w:val="20"/>
        </w:rPr>
        <w:t>Note:</w:t>
      </w:r>
      <w:r w:rsidRPr="00D92464">
        <w:rPr>
          <w:sz w:val="20"/>
          <w:szCs w:val="20"/>
        </w:rPr>
        <w:t xml:space="preserve"> all candidates must also meet suitability requirements </w:t>
      </w:r>
    </w:p>
    <w:p w14:paraId="6B64EEE7" w14:textId="77777777" w:rsidR="00AA3D34" w:rsidRDefault="00AA3D34" w:rsidP="00316A01">
      <w:pPr>
        <w:pStyle w:val="CPESguidelinesbodytext"/>
      </w:pPr>
    </w:p>
    <w:p w14:paraId="1A2DF4A7" w14:textId="77777777" w:rsidR="00D73242" w:rsidRPr="00D92464" w:rsidRDefault="00AA3D34" w:rsidP="00D73242">
      <w:pPr>
        <w:pStyle w:val="DHSGuidelinesHd3"/>
        <w:rPr>
          <w:color w:val="auto"/>
          <w:szCs w:val="22"/>
        </w:rPr>
      </w:pPr>
      <w:r w:rsidRPr="00D92464">
        <w:rPr>
          <w:color w:val="auto"/>
          <w:szCs w:val="22"/>
        </w:rPr>
        <w:t>Suitability Information</w:t>
      </w:r>
    </w:p>
    <w:p w14:paraId="700F7153" w14:textId="77777777" w:rsidR="00D73242" w:rsidRPr="00D73242" w:rsidRDefault="00D73242" w:rsidP="00D73242"/>
    <w:p w14:paraId="1B7B6202" w14:textId="77777777" w:rsidR="0099308B" w:rsidRPr="00D92464" w:rsidRDefault="007069FE" w:rsidP="00316A01">
      <w:pPr>
        <w:pStyle w:val="CPESguidelinesbodytext"/>
        <w:rPr>
          <w:sz w:val="20"/>
          <w:szCs w:val="20"/>
        </w:rPr>
      </w:pPr>
      <w:r w:rsidRPr="00D92464">
        <w:rPr>
          <w:sz w:val="20"/>
          <w:szCs w:val="20"/>
        </w:rPr>
        <w:t xml:space="preserve">The appointment of individuals, including the reappointment of any current </w:t>
      </w:r>
      <w:r w:rsidR="0099308B" w:rsidRPr="00D92464">
        <w:rPr>
          <w:sz w:val="20"/>
          <w:szCs w:val="20"/>
        </w:rPr>
        <w:t>Committee</w:t>
      </w:r>
      <w:r w:rsidRPr="00D92464">
        <w:rPr>
          <w:sz w:val="20"/>
          <w:szCs w:val="20"/>
        </w:rPr>
        <w:t xml:space="preserve"> members, to </w:t>
      </w:r>
      <w:r w:rsidR="0099308B" w:rsidRPr="00D92464">
        <w:rPr>
          <w:sz w:val="20"/>
          <w:szCs w:val="20"/>
        </w:rPr>
        <w:t xml:space="preserve">the CYPDRC </w:t>
      </w:r>
      <w:r w:rsidRPr="00D92464">
        <w:rPr>
          <w:sz w:val="20"/>
          <w:szCs w:val="20"/>
        </w:rPr>
        <w:t xml:space="preserve">is subject to the </w:t>
      </w:r>
      <w:r w:rsidR="003C3E18" w:rsidRPr="00D92464">
        <w:rPr>
          <w:sz w:val="20"/>
          <w:szCs w:val="20"/>
        </w:rPr>
        <w:t>Minister being satisfied that the person is suitable to be a member of the CYPDRC</w:t>
      </w:r>
      <w:r w:rsidR="0099308B" w:rsidRPr="00D92464">
        <w:rPr>
          <w:sz w:val="20"/>
          <w:szCs w:val="20"/>
        </w:rPr>
        <w:t>.</w:t>
      </w:r>
      <w:r w:rsidR="00A215C4" w:rsidRPr="00D92464">
        <w:rPr>
          <w:sz w:val="20"/>
          <w:szCs w:val="20"/>
        </w:rPr>
        <w:t xml:space="preserve"> The Minister must consider suitability information in section 65 (1) of the </w:t>
      </w:r>
      <w:r w:rsidR="00A215C4" w:rsidRPr="00D92464">
        <w:rPr>
          <w:i/>
          <w:sz w:val="20"/>
          <w:szCs w:val="20"/>
        </w:rPr>
        <w:t xml:space="preserve">Children and Young People Act 2008. </w:t>
      </w:r>
    </w:p>
    <w:p w14:paraId="676BAD15" w14:textId="77777777" w:rsidR="00A215C4" w:rsidRPr="00D92464" w:rsidRDefault="00A215C4" w:rsidP="00316A01">
      <w:pPr>
        <w:rPr>
          <w:sz w:val="20"/>
          <w:szCs w:val="20"/>
          <w:lang w:val="en-US"/>
        </w:rPr>
      </w:pPr>
    </w:p>
    <w:p w14:paraId="28DBEDF9" w14:textId="77777777" w:rsidR="007069FE" w:rsidRPr="00D92464" w:rsidRDefault="007069FE" w:rsidP="00316A01">
      <w:pPr>
        <w:pStyle w:val="CPESguidelinesbodytext"/>
        <w:rPr>
          <w:sz w:val="20"/>
          <w:szCs w:val="20"/>
        </w:rPr>
      </w:pPr>
      <w:r w:rsidRPr="00D92464">
        <w:rPr>
          <w:sz w:val="20"/>
          <w:szCs w:val="20"/>
        </w:rPr>
        <w:t xml:space="preserve">In accordance with government policy, </w:t>
      </w:r>
      <w:r w:rsidR="00F870E4" w:rsidRPr="00D92464">
        <w:rPr>
          <w:sz w:val="20"/>
          <w:szCs w:val="20"/>
        </w:rPr>
        <w:t xml:space="preserve">a </w:t>
      </w:r>
      <w:r w:rsidR="0065579A" w:rsidRPr="00D92464">
        <w:rPr>
          <w:sz w:val="20"/>
          <w:szCs w:val="20"/>
        </w:rPr>
        <w:t>successful appointee will be asked to complete:</w:t>
      </w:r>
    </w:p>
    <w:p w14:paraId="18454027" w14:textId="77777777" w:rsidR="003C3E18" w:rsidRPr="00D92464" w:rsidRDefault="003C3E18" w:rsidP="00316A01">
      <w:pPr>
        <w:pStyle w:val="CPESguidelinesbodytext"/>
        <w:rPr>
          <w:sz w:val="20"/>
          <w:szCs w:val="20"/>
        </w:rPr>
      </w:pPr>
    </w:p>
    <w:p w14:paraId="33BAD1B7" w14:textId="77777777" w:rsidR="00A215C4" w:rsidRPr="00D92464" w:rsidRDefault="00A215C4" w:rsidP="00A215C4">
      <w:pPr>
        <w:pStyle w:val="CPESguidelinesbodytext"/>
        <w:numPr>
          <w:ilvl w:val="0"/>
          <w:numId w:val="16"/>
        </w:numPr>
        <w:rPr>
          <w:sz w:val="20"/>
          <w:szCs w:val="20"/>
        </w:rPr>
      </w:pPr>
      <w:r w:rsidRPr="00D92464">
        <w:rPr>
          <w:sz w:val="20"/>
          <w:szCs w:val="20"/>
        </w:rPr>
        <w:t xml:space="preserve">Statutory Declaration concerning convictions or findings of </w:t>
      </w:r>
      <w:proofErr w:type="gramStart"/>
      <w:r w:rsidRPr="00D92464">
        <w:rPr>
          <w:sz w:val="20"/>
          <w:szCs w:val="20"/>
        </w:rPr>
        <w:t>guilt;</w:t>
      </w:r>
      <w:proofErr w:type="gramEnd"/>
    </w:p>
    <w:p w14:paraId="210C2024" w14:textId="77777777" w:rsidR="007069FE" w:rsidRPr="00D92464" w:rsidRDefault="007069FE" w:rsidP="00316A01">
      <w:pPr>
        <w:pStyle w:val="CPESguidelinesbodytext"/>
        <w:numPr>
          <w:ilvl w:val="0"/>
          <w:numId w:val="16"/>
        </w:numPr>
        <w:rPr>
          <w:sz w:val="20"/>
          <w:szCs w:val="20"/>
        </w:rPr>
      </w:pPr>
      <w:r w:rsidRPr="00D92464">
        <w:rPr>
          <w:sz w:val="20"/>
          <w:szCs w:val="20"/>
        </w:rPr>
        <w:t xml:space="preserve">A criminal National Police Record check by </w:t>
      </w:r>
      <w:proofErr w:type="spellStart"/>
      <w:proofErr w:type="gramStart"/>
      <w:r w:rsidR="00A215C4" w:rsidRPr="00D92464">
        <w:rPr>
          <w:sz w:val="20"/>
          <w:szCs w:val="20"/>
        </w:rPr>
        <w:t>CrimTrac</w:t>
      </w:r>
      <w:proofErr w:type="spellEnd"/>
      <w:r w:rsidR="00A215C4" w:rsidRPr="00D92464">
        <w:rPr>
          <w:sz w:val="20"/>
          <w:szCs w:val="20"/>
        </w:rPr>
        <w:t>;</w:t>
      </w:r>
      <w:proofErr w:type="gramEnd"/>
    </w:p>
    <w:p w14:paraId="6939C391" w14:textId="77777777" w:rsidR="00A215C4" w:rsidRPr="00D92464" w:rsidRDefault="00A215C4" w:rsidP="00316A01">
      <w:pPr>
        <w:pStyle w:val="CPESguidelinesbodytext"/>
        <w:numPr>
          <w:ilvl w:val="0"/>
          <w:numId w:val="16"/>
        </w:numPr>
        <w:rPr>
          <w:sz w:val="20"/>
          <w:szCs w:val="20"/>
        </w:rPr>
      </w:pPr>
      <w:r w:rsidRPr="00D92464">
        <w:rPr>
          <w:sz w:val="20"/>
          <w:szCs w:val="20"/>
        </w:rPr>
        <w:t>Code of Conduct</w:t>
      </w:r>
      <w:r w:rsidR="00CA3B9E" w:rsidRPr="00D92464">
        <w:rPr>
          <w:sz w:val="20"/>
          <w:szCs w:val="20"/>
        </w:rPr>
        <w:t xml:space="preserve"> </w:t>
      </w:r>
      <w:proofErr w:type="gramStart"/>
      <w:r w:rsidR="00CA3B9E" w:rsidRPr="00D92464">
        <w:rPr>
          <w:sz w:val="20"/>
          <w:szCs w:val="20"/>
        </w:rPr>
        <w:t>Statement</w:t>
      </w:r>
      <w:r w:rsidRPr="00D92464">
        <w:rPr>
          <w:sz w:val="20"/>
          <w:szCs w:val="20"/>
        </w:rPr>
        <w:t>;</w:t>
      </w:r>
      <w:proofErr w:type="gramEnd"/>
    </w:p>
    <w:p w14:paraId="68107E3F" w14:textId="77777777" w:rsidR="00A215C4" w:rsidRPr="00D92464" w:rsidRDefault="00A215C4" w:rsidP="00316A01">
      <w:pPr>
        <w:pStyle w:val="CPESguidelinesbodytext"/>
        <w:numPr>
          <w:ilvl w:val="0"/>
          <w:numId w:val="16"/>
        </w:numPr>
        <w:rPr>
          <w:sz w:val="20"/>
          <w:szCs w:val="20"/>
        </w:rPr>
      </w:pPr>
      <w:r w:rsidRPr="00D92464">
        <w:rPr>
          <w:sz w:val="20"/>
          <w:szCs w:val="20"/>
        </w:rPr>
        <w:t>Conflict of interest statement.</w:t>
      </w:r>
    </w:p>
    <w:p w14:paraId="5BC8184B" w14:textId="77777777" w:rsidR="007069FE" w:rsidRDefault="007069FE" w:rsidP="00316A01">
      <w:pPr>
        <w:pStyle w:val="CPESguidelinesbodytext"/>
      </w:pPr>
    </w:p>
    <w:p w14:paraId="2658D42F" w14:textId="77777777" w:rsidR="007069FE" w:rsidRDefault="007069FE" w:rsidP="00AE0CD6">
      <w:pPr>
        <w:pStyle w:val="CPESguidelinesbodytext"/>
      </w:pPr>
    </w:p>
    <w:sectPr w:rsidR="007069FE" w:rsidSect="00FB34AC">
      <w:headerReference w:type="default" r:id="rId12"/>
      <w:footerReference w:type="default" r:id="rId13"/>
      <w:pgSz w:w="11906" w:h="16838"/>
      <w:pgMar w:top="1440" w:right="1800" w:bottom="1134"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9A03" w14:textId="77777777" w:rsidR="00515259" w:rsidRDefault="00515259" w:rsidP="00316A01">
      <w:r>
        <w:separator/>
      </w:r>
    </w:p>
  </w:endnote>
  <w:endnote w:type="continuationSeparator" w:id="0">
    <w:p w14:paraId="684AE2FB" w14:textId="77777777" w:rsidR="00515259" w:rsidRDefault="00515259" w:rsidP="003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9D1C" w14:textId="77777777" w:rsidR="00B77ADB" w:rsidRDefault="00B77ADB" w:rsidP="00B77ADB">
    <w:pPr>
      <w:pStyle w:val="Footer"/>
      <w:pBdr>
        <w:top w:val="single" w:sz="4" w:space="1" w:color="D9D9D9"/>
      </w:pBdr>
      <w:jc w:val="right"/>
    </w:pPr>
    <w:r>
      <w:fldChar w:fldCharType="begin"/>
    </w:r>
    <w:r>
      <w:instrText xml:space="preserve"> PAGE   \* MERGEFORMAT </w:instrText>
    </w:r>
    <w:r>
      <w:fldChar w:fldCharType="separate"/>
    </w:r>
    <w:r w:rsidR="00BA05EA">
      <w:rPr>
        <w:noProof/>
      </w:rPr>
      <w:t>1</w:t>
    </w:r>
    <w:r>
      <w:rPr>
        <w:noProof/>
      </w:rPr>
      <w:fldChar w:fldCharType="end"/>
    </w:r>
    <w:r>
      <w:t xml:space="preserve"> | </w:t>
    </w:r>
    <w:r w:rsidRPr="00B77ADB">
      <w:rPr>
        <w:color w:val="7F7F7F"/>
        <w:spacing w:val="60"/>
      </w:rPr>
      <w:t>Page</w:t>
    </w:r>
  </w:p>
  <w:p w14:paraId="5D6BE641" w14:textId="77777777" w:rsidR="004B53DB" w:rsidRDefault="004B53DB" w:rsidP="0031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C7DF" w14:textId="77777777" w:rsidR="00515259" w:rsidRDefault="00515259" w:rsidP="00316A01">
      <w:r>
        <w:separator/>
      </w:r>
    </w:p>
  </w:footnote>
  <w:footnote w:type="continuationSeparator" w:id="0">
    <w:p w14:paraId="0F19C4D2" w14:textId="77777777" w:rsidR="00515259" w:rsidRDefault="00515259" w:rsidP="0031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D2BF" w14:textId="26D2A1ED" w:rsidR="002C725F" w:rsidRDefault="00A028E3" w:rsidP="00A028E3">
    <w:pPr>
      <w:pStyle w:val="Header"/>
      <w:jc w:val="right"/>
    </w:pPr>
    <w:r>
      <w:rPr>
        <w:noProof/>
      </w:rPr>
      <w:drawing>
        <wp:inline distT="0" distB="0" distL="0" distR="0" wp14:anchorId="06E14A59" wp14:editId="479860D8">
          <wp:extent cx="2689860" cy="506095"/>
          <wp:effectExtent l="0" t="0" r="0" b="0"/>
          <wp:docPr id="2" name="Picture 2"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FB245E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96FD7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1A658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B5CF1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975AD05A"/>
    <w:lvl w:ilvl="0">
      <w:numFmt w:val="decimal"/>
      <w:lvlText w:val="*"/>
      <w:lvlJc w:val="left"/>
    </w:lvl>
  </w:abstractNum>
  <w:abstractNum w:abstractNumId="5" w15:restartNumberingAfterBreak="0">
    <w:nsid w:val="00CC4000"/>
    <w:multiLevelType w:val="hybridMultilevel"/>
    <w:tmpl w:val="657A86E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93138"/>
    <w:multiLevelType w:val="hybridMultilevel"/>
    <w:tmpl w:val="D33E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DD74B5"/>
    <w:multiLevelType w:val="hybridMultilevel"/>
    <w:tmpl w:val="E9AAA5D4"/>
    <w:lvl w:ilvl="0" w:tplc="64D83EC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25135A"/>
    <w:multiLevelType w:val="hybridMultilevel"/>
    <w:tmpl w:val="26223444"/>
    <w:lvl w:ilvl="0" w:tplc="04090001">
      <w:start w:val="1"/>
      <w:numFmt w:val="bullet"/>
      <w:lvlText w:val=""/>
      <w:lvlJc w:val="left"/>
      <w:pPr>
        <w:tabs>
          <w:tab w:val="num" w:pos="795"/>
        </w:tabs>
        <w:ind w:left="795" w:hanging="360"/>
      </w:pPr>
      <w:rPr>
        <w:rFonts w:ascii="Symbol" w:hAnsi="Symbol" w:hint="default"/>
      </w:rPr>
    </w:lvl>
    <w:lvl w:ilvl="1" w:tplc="198C6A24">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8BA77E3"/>
    <w:multiLevelType w:val="hybridMultilevel"/>
    <w:tmpl w:val="2C422972"/>
    <w:lvl w:ilvl="0" w:tplc="0C090005">
      <w:start w:val="1"/>
      <w:numFmt w:val="bullet"/>
      <w:lvlText w:val=""/>
      <w:lvlJc w:val="left"/>
      <w:pPr>
        <w:ind w:left="720" w:hanging="360"/>
      </w:pPr>
      <w:rPr>
        <w:rFonts w:ascii="Wingdings" w:hAnsi="Wingdings" w:hint="default"/>
      </w:rPr>
    </w:lvl>
    <w:lvl w:ilvl="1" w:tplc="87648A64">
      <w:numFmt w:val="bullet"/>
      <w:lvlText w:val=""/>
      <w:lvlJc w:val="left"/>
      <w:pPr>
        <w:ind w:left="1440" w:hanging="360"/>
      </w:pPr>
      <w:rPr>
        <w:rFonts w:ascii="Century Gothic" w:eastAsia="Times New Roman" w:hAnsi="Century Goth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746CB"/>
    <w:multiLevelType w:val="hybridMultilevel"/>
    <w:tmpl w:val="524EE9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0F9446D9"/>
    <w:multiLevelType w:val="hybridMultilevel"/>
    <w:tmpl w:val="8BFA96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084A97"/>
    <w:multiLevelType w:val="hybridMultilevel"/>
    <w:tmpl w:val="B15ED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AD22D8"/>
    <w:multiLevelType w:val="multilevel"/>
    <w:tmpl w:val="0DAE53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943BC"/>
    <w:multiLevelType w:val="hybridMultilevel"/>
    <w:tmpl w:val="6D5E31B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2B9403AF"/>
    <w:multiLevelType w:val="hybridMultilevel"/>
    <w:tmpl w:val="F6E67714"/>
    <w:lvl w:ilvl="0" w:tplc="AF9C8208">
      <w:start w:val="1"/>
      <w:numFmt w:val="bullet"/>
      <w:lvlText w:val=""/>
      <w:lvlJc w:val="left"/>
      <w:pPr>
        <w:tabs>
          <w:tab w:val="num" w:pos="1021"/>
        </w:tabs>
        <w:ind w:left="102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841C5"/>
    <w:multiLevelType w:val="hybridMultilevel"/>
    <w:tmpl w:val="EB06F076"/>
    <w:lvl w:ilvl="0" w:tplc="0C090003">
      <w:start w:val="1"/>
      <w:numFmt w:val="bullet"/>
      <w:lvlText w:val="o"/>
      <w:lvlJc w:val="left"/>
      <w:pPr>
        <w:tabs>
          <w:tab w:val="num" w:pos="785"/>
        </w:tabs>
        <w:ind w:left="785" w:hanging="360"/>
      </w:pPr>
      <w:rPr>
        <w:rFonts w:ascii="Courier New" w:hAnsi="Courier New" w:cs="Courier New"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02B0BC9"/>
    <w:multiLevelType w:val="hybridMultilevel"/>
    <w:tmpl w:val="C2083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E46A27"/>
    <w:multiLevelType w:val="hybridMultilevel"/>
    <w:tmpl w:val="7192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26FB5"/>
    <w:multiLevelType w:val="hybridMultilevel"/>
    <w:tmpl w:val="657A8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E21318"/>
    <w:multiLevelType w:val="hybridMultilevel"/>
    <w:tmpl w:val="5FF2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B1318"/>
    <w:multiLevelType w:val="hybridMultilevel"/>
    <w:tmpl w:val="4372024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38974AC2"/>
    <w:multiLevelType w:val="hybridMultilevel"/>
    <w:tmpl w:val="5FC2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D7082"/>
    <w:multiLevelType w:val="hybridMultilevel"/>
    <w:tmpl w:val="70FE195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339163B"/>
    <w:multiLevelType w:val="hybridMultilevel"/>
    <w:tmpl w:val="F6386E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A3E70"/>
    <w:multiLevelType w:val="hybridMultilevel"/>
    <w:tmpl w:val="3F68CE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03C81"/>
    <w:multiLevelType w:val="hybridMultilevel"/>
    <w:tmpl w:val="B45C9C66"/>
    <w:lvl w:ilvl="0" w:tplc="C9E29F10">
      <w:start w:val="1"/>
      <w:numFmt w:val="bullet"/>
      <w:lvlText w:val="-"/>
      <w:lvlJc w:val="left"/>
      <w:pPr>
        <w:tabs>
          <w:tab w:val="num" w:pos="851"/>
        </w:tabs>
        <w:ind w:left="851" w:hanging="426"/>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A26B3"/>
    <w:multiLevelType w:val="hybridMultilevel"/>
    <w:tmpl w:val="D12C31D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48D017F8"/>
    <w:multiLevelType w:val="hybridMultilevel"/>
    <w:tmpl w:val="6B146D92"/>
    <w:lvl w:ilvl="0" w:tplc="0409000F">
      <w:start w:val="1"/>
      <w:numFmt w:val="decimal"/>
      <w:lvlText w:val="%1."/>
      <w:lvlJc w:val="left"/>
      <w:pPr>
        <w:tabs>
          <w:tab w:val="num" w:pos="360"/>
        </w:tabs>
        <w:ind w:left="360" w:hanging="360"/>
      </w:pPr>
    </w:lvl>
    <w:lvl w:ilvl="1" w:tplc="7A9E94FC">
      <w:start w:val="1"/>
      <w:numFmt w:val="bullet"/>
      <w:lvlText w:val=""/>
      <w:lvlJc w:val="left"/>
      <w:pPr>
        <w:tabs>
          <w:tab w:val="num" w:pos="1080"/>
        </w:tabs>
        <w:ind w:left="720" w:firstLine="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B82266"/>
    <w:multiLevelType w:val="hybridMultilevel"/>
    <w:tmpl w:val="BF942A02"/>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0" w15:restartNumberingAfterBreak="0">
    <w:nsid w:val="5524046C"/>
    <w:multiLevelType w:val="hybridMultilevel"/>
    <w:tmpl w:val="C52CE45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55393E44"/>
    <w:multiLevelType w:val="hybridMultilevel"/>
    <w:tmpl w:val="657A86E8"/>
    <w:lvl w:ilvl="0" w:tplc="01AA1A46">
      <w:start w:val="1"/>
      <w:numFmt w:val="lowerLetter"/>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EC3769"/>
    <w:multiLevelType w:val="hybridMultilevel"/>
    <w:tmpl w:val="FC3A066A"/>
    <w:lvl w:ilvl="0" w:tplc="9B8A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5FE3"/>
    <w:multiLevelType w:val="hybridMultilevel"/>
    <w:tmpl w:val="9B60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26C50"/>
    <w:multiLevelType w:val="hybridMultilevel"/>
    <w:tmpl w:val="267CE530"/>
    <w:lvl w:ilvl="0" w:tplc="62A0E9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632A4"/>
    <w:multiLevelType w:val="hybridMultilevel"/>
    <w:tmpl w:val="0DAE5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669C3"/>
    <w:multiLevelType w:val="hybridMultilevel"/>
    <w:tmpl w:val="657A86E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677BE4"/>
    <w:multiLevelType w:val="hybridMultilevel"/>
    <w:tmpl w:val="64CAF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28"/>
  </w:num>
  <w:num w:numId="4">
    <w:abstractNumId w:val="4"/>
    <w:lvlOverride w:ilvl="0">
      <w:lvl w:ilvl="0">
        <w:start w:val="1"/>
        <w:numFmt w:val="bullet"/>
        <w:lvlText w:val=""/>
        <w:legacy w:legacy="1" w:legacySpace="120" w:legacyIndent="425"/>
        <w:lvlJc w:val="left"/>
        <w:pPr>
          <w:ind w:left="425" w:hanging="425"/>
        </w:pPr>
        <w:rPr>
          <w:rFonts w:ascii="Symbol" w:hAnsi="Symbol" w:hint="default"/>
          <w:sz w:val="20"/>
        </w:rPr>
      </w:lvl>
    </w:lvlOverride>
  </w:num>
  <w:num w:numId="5">
    <w:abstractNumId w:val="4"/>
    <w:lvlOverride w:ilvl="0">
      <w:lvl w:ilvl="0">
        <w:start w:val="1"/>
        <w:numFmt w:val="bullet"/>
        <w:lvlText w:val="-"/>
        <w:legacy w:legacy="1" w:legacySpace="120" w:legacyIndent="426"/>
        <w:lvlJc w:val="left"/>
        <w:pPr>
          <w:ind w:left="851" w:hanging="426"/>
        </w:pPr>
      </w:lvl>
    </w:lvlOverride>
  </w:num>
  <w:num w:numId="6">
    <w:abstractNumId w:val="20"/>
  </w:num>
  <w:num w:numId="7">
    <w:abstractNumId w:val="31"/>
  </w:num>
  <w:num w:numId="8">
    <w:abstractNumId w:val="12"/>
  </w:num>
  <w:num w:numId="9">
    <w:abstractNumId w:val="14"/>
  </w:num>
  <w:num w:numId="10">
    <w:abstractNumId w:val="0"/>
  </w:num>
  <w:num w:numId="11">
    <w:abstractNumId w:val="3"/>
  </w:num>
  <w:num w:numId="12">
    <w:abstractNumId w:val="2"/>
  </w:num>
  <w:num w:numId="13">
    <w:abstractNumId w:val="1"/>
  </w:num>
  <w:num w:numId="14">
    <w:abstractNumId w:val="10"/>
  </w:num>
  <w:num w:numId="15">
    <w:abstractNumId w:val="35"/>
  </w:num>
  <w:num w:numId="16">
    <w:abstractNumId w:val="22"/>
  </w:num>
  <w:num w:numId="17">
    <w:abstractNumId w:val="37"/>
  </w:num>
  <w:num w:numId="18">
    <w:abstractNumId w:val="30"/>
  </w:num>
  <w:num w:numId="19">
    <w:abstractNumId w:val="8"/>
  </w:num>
  <w:num w:numId="20">
    <w:abstractNumId w:val="17"/>
  </w:num>
  <w:num w:numId="21">
    <w:abstractNumId w:val="29"/>
  </w:num>
  <w:num w:numId="22">
    <w:abstractNumId w:val="26"/>
  </w:num>
  <w:num w:numId="23">
    <w:abstractNumId w:val="5"/>
  </w:num>
  <w:num w:numId="24">
    <w:abstractNumId w:val="36"/>
  </w:num>
  <w:num w:numId="25">
    <w:abstractNumId w:val="19"/>
  </w:num>
  <w:num w:numId="26">
    <w:abstractNumId w:val="27"/>
  </w:num>
  <w:num w:numId="27">
    <w:abstractNumId w:val="21"/>
  </w:num>
  <w:num w:numId="28">
    <w:abstractNumId w:val="4"/>
    <w:lvlOverride w:ilvl="0">
      <w:lvl w:ilvl="0">
        <w:numFmt w:val="bullet"/>
        <w:lvlText w:val="•"/>
        <w:legacy w:legacy="1" w:legacySpace="0" w:legacyIndent="0"/>
        <w:lvlJc w:val="left"/>
        <w:rPr>
          <w:rFonts w:ascii="Helv" w:hAnsi="Helv" w:hint="default"/>
        </w:rPr>
      </w:lvl>
    </w:lvlOverride>
  </w:num>
  <w:num w:numId="29">
    <w:abstractNumId w:val="13"/>
  </w:num>
  <w:num w:numId="30">
    <w:abstractNumId w:val="32"/>
  </w:num>
  <w:num w:numId="31">
    <w:abstractNumId w:val="16"/>
  </w:num>
  <w:num w:numId="32">
    <w:abstractNumId w:val="11"/>
  </w:num>
  <w:num w:numId="33">
    <w:abstractNumId w:val="18"/>
  </w:num>
  <w:num w:numId="34">
    <w:abstractNumId w:val="6"/>
  </w:num>
  <w:num w:numId="35">
    <w:abstractNumId w:val="23"/>
  </w:num>
  <w:num w:numId="36">
    <w:abstractNumId w:val="9"/>
  </w:num>
  <w:num w:numId="37">
    <w:abstractNumId w:val="24"/>
  </w:num>
  <w:num w:numId="38">
    <w:abstractNumId w:val="25"/>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AD"/>
    <w:rsid w:val="0001541F"/>
    <w:rsid w:val="00041CBA"/>
    <w:rsid w:val="000478A4"/>
    <w:rsid w:val="0008498D"/>
    <w:rsid w:val="000A23F6"/>
    <w:rsid w:val="000D30E4"/>
    <w:rsid w:val="00114E60"/>
    <w:rsid w:val="00136433"/>
    <w:rsid w:val="00152F6E"/>
    <w:rsid w:val="0018069D"/>
    <w:rsid w:val="001A0A93"/>
    <w:rsid w:val="001A38B7"/>
    <w:rsid w:val="001E5F1E"/>
    <w:rsid w:val="00241147"/>
    <w:rsid w:val="0025291C"/>
    <w:rsid w:val="00257834"/>
    <w:rsid w:val="002C725F"/>
    <w:rsid w:val="002E7785"/>
    <w:rsid w:val="003130BA"/>
    <w:rsid w:val="00314334"/>
    <w:rsid w:val="00316A01"/>
    <w:rsid w:val="00324319"/>
    <w:rsid w:val="00335682"/>
    <w:rsid w:val="00350714"/>
    <w:rsid w:val="0035397D"/>
    <w:rsid w:val="003832E9"/>
    <w:rsid w:val="00397E25"/>
    <w:rsid w:val="003C3E18"/>
    <w:rsid w:val="003E6887"/>
    <w:rsid w:val="00415B4E"/>
    <w:rsid w:val="004277AF"/>
    <w:rsid w:val="00427E97"/>
    <w:rsid w:val="00443A34"/>
    <w:rsid w:val="00463AAA"/>
    <w:rsid w:val="00475CA6"/>
    <w:rsid w:val="004B53DB"/>
    <w:rsid w:val="00505A9B"/>
    <w:rsid w:val="00510B55"/>
    <w:rsid w:val="00515259"/>
    <w:rsid w:val="00582500"/>
    <w:rsid w:val="005D6683"/>
    <w:rsid w:val="005E7197"/>
    <w:rsid w:val="006019BA"/>
    <w:rsid w:val="00610F95"/>
    <w:rsid w:val="00612019"/>
    <w:rsid w:val="0062337B"/>
    <w:rsid w:val="00625D2E"/>
    <w:rsid w:val="00627E8A"/>
    <w:rsid w:val="0065579A"/>
    <w:rsid w:val="006829D6"/>
    <w:rsid w:val="006A524F"/>
    <w:rsid w:val="006D1917"/>
    <w:rsid w:val="00703BD0"/>
    <w:rsid w:val="007069FE"/>
    <w:rsid w:val="007103B0"/>
    <w:rsid w:val="0071174B"/>
    <w:rsid w:val="00716EDE"/>
    <w:rsid w:val="007337AA"/>
    <w:rsid w:val="00742CF1"/>
    <w:rsid w:val="00746702"/>
    <w:rsid w:val="00752F6C"/>
    <w:rsid w:val="007871C8"/>
    <w:rsid w:val="0083056B"/>
    <w:rsid w:val="0089640B"/>
    <w:rsid w:val="008A360D"/>
    <w:rsid w:val="008B19AD"/>
    <w:rsid w:val="008B3809"/>
    <w:rsid w:val="008B65FF"/>
    <w:rsid w:val="008C127D"/>
    <w:rsid w:val="00905EFE"/>
    <w:rsid w:val="009271CE"/>
    <w:rsid w:val="00943B91"/>
    <w:rsid w:val="00952E34"/>
    <w:rsid w:val="0099308B"/>
    <w:rsid w:val="009B347E"/>
    <w:rsid w:val="009B5817"/>
    <w:rsid w:val="009C6EAD"/>
    <w:rsid w:val="009D0A3C"/>
    <w:rsid w:val="009E04E1"/>
    <w:rsid w:val="009E274B"/>
    <w:rsid w:val="00A028E3"/>
    <w:rsid w:val="00A20DFE"/>
    <w:rsid w:val="00A215C4"/>
    <w:rsid w:val="00A365F4"/>
    <w:rsid w:val="00A52804"/>
    <w:rsid w:val="00AA3D34"/>
    <w:rsid w:val="00AB1698"/>
    <w:rsid w:val="00AB2229"/>
    <w:rsid w:val="00AB3A5F"/>
    <w:rsid w:val="00AD70B3"/>
    <w:rsid w:val="00AE0CD6"/>
    <w:rsid w:val="00AE5327"/>
    <w:rsid w:val="00B460AD"/>
    <w:rsid w:val="00B47CD2"/>
    <w:rsid w:val="00B553D2"/>
    <w:rsid w:val="00B728BC"/>
    <w:rsid w:val="00B77ADB"/>
    <w:rsid w:val="00B83637"/>
    <w:rsid w:val="00BA05EA"/>
    <w:rsid w:val="00C22060"/>
    <w:rsid w:val="00C270ED"/>
    <w:rsid w:val="00C51AD8"/>
    <w:rsid w:val="00CA3B9E"/>
    <w:rsid w:val="00CA3CDF"/>
    <w:rsid w:val="00CD4047"/>
    <w:rsid w:val="00CF10A7"/>
    <w:rsid w:val="00D11DE1"/>
    <w:rsid w:val="00D43500"/>
    <w:rsid w:val="00D53471"/>
    <w:rsid w:val="00D73242"/>
    <w:rsid w:val="00D92464"/>
    <w:rsid w:val="00DA0170"/>
    <w:rsid w:val="00DE2799"/>
    <w:rsid w:val="00DF65A2"/>
    <w:rsid w:val="00E5127F"/>
    <w:rsid w:val="00E654F1"/>
    <w:rsid w:val="00EA72E7"/>
    <w:rsid w:val="00EF6A40"/>
    <w:rsid w:val="00F236F6"/>
    <w:rsid w:val="00F36C5A"/>
    <w:rsid w:val="00F44AAA"/>
    <w:rsid w:val="00F72A44"/>
    <w:rsid w:val="00F870E4"/>
    <w:rsid w:val="00FB0237"/>
    <w:rsid w:val="00FB34AC"/>
    <w:rsid w:val="00FE1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D54681"/>
  <w15:chartTrackingRefBased/>
  <w15:docId w15:val="{385A5077-8149-4A7D-95FC-85859640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01"/>
    <w:rPr>
      <w:rFonts w:ascii="Century Gothic" w:hAnsi="Century Gothic"/>
      <w:sz w:val="22"/>
      <w:szCs w:val="22"/>
      <w:lang w:eastAsia="en-US"/>
    </w:rPr>
  </w:style>
  <w:style w:type="paragraph" w:styleId="Heading1">
    <w:name w:val="heading 1"/>
    <w:basedOn w:val="DHSGuidelinesHeading2"/>
    <w:next w:val="Normal"/>
    <w:qFormat/>
    <w:rsid w:val="00316A01"/>
    <w:pPr>
      <w:outlineLvl w:val="0"/>
    </w:pPr>
  </w:style>
  <w:style w:type="paragraph" w:styleId="Heading2">
    <w:name w:val="heading 2"/>
    <w:basedOn w:val="DHSGuidelinesHd3"/>
    <w:next w:val="Normal"/>
    <w:qFormat/>
    <w:rsid w:val="003832E9"/>
    <w:pPr>
      <w:outlineLvl w:val="1"/>
    </w:pPr>
    <w:rPr>
      <w:color w:val="2E74B5"/>
      <w:sz w:val="24"/>
      <w:szCs w:val="24"/>
    </w:rPr>
  </w:style>
  <w:style w:type="paragraph" w:styleId="Heading3">
    <w:name w:val="heading 3"/>
    <w:basedOn w:val="Normal"/>
    <w:next w:val="Normal"/>
    <w:qFormat/>
    <w:pPr>
      <w:keepNext/>
      <w:jc w:val="both"/>
      <w:outlineLvl w:val="2"/>
    </w:pPr>
    <w:rPr>
      <w:b/>
      <w:bCs/>
    </w:rPr>
  </w:style>
  <w:style w:type="paragraph" w:styleId="Heading5">
    <w:name w:val="heading 5"/>
    <w:basedOn w:val="Normal"/>
    <w:next w:val="Normal"/>
    <w:qFormat/>
    <w:pPr>
      <w:keepNext/>
      <w:jc w:val="center"/>
      <w:outlineLvl w:val="4"/>
    </w:pPr>
    <w:rPr>
      <w:b/>
      <w:bCs/>
      <w:szCs w:val="20"/>
      <w:lang w:val="en-US"/>
    </w:rPr>
  </w:style>
  <w:style w:type="paragraph" w:styleId="Heading6">
    <w:name w:val="heading 6"/>
    <w:basedOn w:val="Normal"/>
    <w:next w:val="Normal"/>
    <w:qFormat/>
    <w:pPr>
      <w:keepNext/>
      <w:spacing w:before="360" w:after="180"/>
      <w:jc w:val="both"/>
      <w:outlineLvl w:val="5"/>
    </w:pPr>
    <w:rPr>
      <w:b/>
      <w:bCs/>
      <w:sz w:val="18"/>
      <w:szCs w:val="20"/>
      <w:lang w:val="en-US"/>
    </w:rPr>
  </w:style>
  <w:style w:type="paragraph" w:styleId="Heading7">
    <w:name w:val="heading 7"/>
    <w:basedOn w:val="Normal"/>
    <w:next w:val="Normal"/>
    <w:qFormat/>
    <w:pPr>
      <w:keepNext/>
      <w:spacing w:before="240" w:after="120"/>
      <w:ind w:left="357" w:hanging="357"/>
      <w:outlineLvl w:val="6"/>
    </w:pPr>
    <w:rPr>
      <w:b/>
      <w:spacing w:val="-2"/>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rFonts w:ascii="Times New Roman" w:hAnsi="Times New Roman"/>
      <w:sz w:val="24"/>
      <w:szCs w:val="20"/>
      <w:lang w:val="en-US"/>
    </w:rPr>
  </w:style>
  <w:style w:type="paragraph" w:styleId="Header">
    <w:name w:val="header"/>
    <w:basedOn w:val="Normal"/>
    <w:pPr>
      <w:tabs>
        <w:tab w:val="center" w:pos="4153"/>
        <w:tab w:val="right" w:pos="8306"/>
      </w:tabs>
    </w:pPr>
    <w:rPr>
      <w:rFonts w:ascii="Times New Roman" w:hAnsi="Times New Roman"/>
      <w:szCs w:val="20"/>
    </w:rPr>
  </w:style>
  <w:style w:type="paragraph" w:styleId="BodyTextIndent">
    <w:name w:val="Body Text Indent"/>
    <w:basedOn w:val="Normal"/>
    <w:pPr>
      <w:spacing w:after="120"/>
      <w:ind w:left="720" w:hanging="720"/>
      <w:jc w:val="both"/>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rFonts w:ascii="Arial" w:hAnsi="Arial"/>
      <w:sz w:val="24"/>
      <w:szCs w:val="20"/>
    </w:rPr>
  </w:style>
  <w:style w:type="paragraph" w:styleId="BodyText3">
    <w:name w:val="Body Text 3"/>
    <w:basedOn w:val="Normal"/>
    <w:pPr>
      <w:spacing w:before="240"/>
      <w:jc w:val="both"/>
    </w:pPr>
  </w:style>
  <w:style w:type="paragraph" w:styleId="BodyTextIndent2">
    <w:name w:val="Body Text Indent 2"/>
    <w:basedOn w:val="Normal"/>
    <w:pPr>
      <w:spacing w:after="120"/>
      <w:ind w:left="360"/>
    </w:pPr>
  </w:style>
  <w:style w:type="paragraph" w:customStyle="1" w:styleId="CPESguidelines">
    <w:name w:val="CPES guidelines"/>
    <w:basedOn w:val="Normal"/>
    <w:pPr>
      <w:spacing w:before="120" w:after="120"/>
      <w:ind w:left="142"/>
    </w:pPr>
    <w:rPr>
      <w:sz w:val="40"/>
    </w:rPr>
  </w:style>
  <w:style w:type="paragraph" w:styleId="ListBullet4">
    <w:name w:val="List Bullet 4"/>
    <w:basedOn w:val="Normal"/>
    <w:autoRedefine/>
    <w:pPr>
      <w:numPr>
        <w:numId w:val="10"/>
      </w:numPr>
    </w:pPr>
  </w:style>
  <w:style w:type="paragraph" w:customStyle="1" w:styleId="DHSguidelinesTitle">
    <w:name w:val="DHS guidelines  Title"/>
    <w:basedOn w:val="Normal"/>
    <w:pPr>
      <w:spacing w:before="120" w:after="120"/>
      <w:ind w:left="142"/>
    </w:pPr>
    <w:rPr>
      <w:sz w:val="40"/>
    </w:rPr>
  </w:style>
  <w:style w:type="paragraph" w:customStyle="1" w:styleId="DHSguidelinesAppendix">
    <w:name w:val="DHS guidelines Appendix"/>
    <w:basedOn w:val="Normal"/>
    <w:pPr>
      <w:spacing w:before="120" w:after="120"/>
      <w:ind w:left="142"/>
    </w:pPr>
    <w:rPr>
      <w:rFonts w:ascii="v" w:hAnsi="v"/>
      <w:sz w:val="28"/>
    </w:rPr>
  </w:style>
  <w:style w:type="paragraph" w:customStyle="1" w:styleId="DHSguidelinesContents">
    <w:name w:val="DHS guidelines Contents"/>
    <w:basedOn w:val="Normal"/>
    <w:pPr>
      <w:spacing w:before="120" w:after="120"/>
      <w:ind w:left="142"/>
    </w:pPr>
    <w:rPr>
      <w:b/>
      <w:color w:val="000080"/>
      <w:sz w:val="32"/>
    </w:rPr>
  </w:style>
  <w:style w:type="paragraph" w:customStyle="1" w:styleId="DHSGuidelinesHd3">
    <w:name w:val="DHS Guidelines Hd 3"/>
    <w:basedOn w:val="Normal"/>
    <w:next w:val="Normal"/>
    <w:rPr>
      <w:b/>
      <w:color w:val="000080"/>
      <w:szCs w:val="20"/>
    </w:rPr>
  </w:style>
  <w:style w:type="paragraph" w:customStyle="1" w:styleId="DHSGuidelinesHd4">
    <w:name w:val="DHS Guidelines Hd 4"/>
    <w:basedOn w:val="Heading3"/>
    <w:next w:val="Heading3"/>
    <w:autoRedefine/>
    <w:pPr>
      <w:widowControl w:val="0"/>
      <w:overflowPunct w:val="0"/>
      <w:autoSpaceDE w:val="0"/>
      <w:autoSpaceDN w:val="0"/>
      <w:adjustRightInd w:val="0"/>
      <w:jc w:val="left"/>
      <w:textAlignment w:val="baseline"/>
    </w:pPr>
    <w:rPr>
      <w:rFonts w:cs="Arial"/>
      <w:color w:val="000000"/>
      <w:sz w:val="19"/>
      <w:szCs w:val="18"/>
      <w:lang w:val="en-US"/>
    </w:rPr>
  </w:style>
  <w:style w:type="paragraph" w:customStyle="1" w:styleId="DHSGuidelinesHeading1">
    <w:name w:val="DHS Guidelines Heading 1"/>
    <w:basedOn w:val="Normal"/>
    <w:next w:val="Normal"/>
    <w:pPr>
      <w:widowControl w:val="0"/>
      <w:overflowPunct w:val="0"/>
      <w:autoSpaceDE w:val="0"/>
      <w:autoSpaceDN w:val="0"/>
      <w:adjustRightInd w:val="0"/>
      <w:spacing w:after="120" w:line="280" w:lineRule="exact"/>
      <w:textAlignment w:val="baseline"/>
    </w:pPr>
    <w:rPr>
      <w:sz w:val="28"/>
      <w:szCs w:val="20"/>
    </w:rPr>
  </w:style>
  <w:style w:type="paragraph" w:customStyle="1" w:styleId="DHSGuidelinesHeading2">
    <w:name w:val="DHS Guidelines Heading 2"/>
    <w:basedOn w:val="DHSGuidelinesHeading1"/>
    <w:next w:val="Normal"/>
    <w:pPr>
      <w:spacing w:line="240" w:lineRule="exact"/>
    </w:pPr>
    <w:rPr>
      <w:b/>
      <w:sz w:val="24"/>
    </w:rPr>
  </w:style>
  <w:style w:type="paragraph" w:customStyle="1" w:styleId="DHSguidelinesTableheading">
    <w:name w:val="DHS guidelines Table heading"/>
    <w:basedOn w:val="Normal"/>
    <w:pPr>
      <w:spacing w:before="120" w:after="120"/>
      <w:ind w:left="142"/>
    </w:pPr>
    <w:rPr>
      <w:b/>
      <w:sz w:val="19"/>
    </w:rPr>
  </w:style>
  <w:style w:type="paragraph" w:customStyle="1" w:styleId="DHSguidelinesTabletext">
    <w:name w:val="DHS guidelines Table text"/>
    <w:basedOn w:val="Normal"/>
    <w:pPr>
      <w:spacing w:before="120" w:after="120"/>
      <w:ind w:left="142"/>
    </w:pPr>
    <w:rPr>
      <w:sz w:val="19"/>
    </w:rPr>
  </w:style>
  <w:style w:type="paragraph" w:customStyle="1" w:styleId="DHSReportHd1">
    <w:name w:val="DHS Report Hd 1"/>
    <w:basedOn w:val="Normal"/>
    <w:next w:val="Normal"/>
    <w:pPr>
      <w:spacing w:line="360" w:lineRule="exact"/>
    </w:pPr>
    <w:rPr>
      <w:sz w:val="40"/>
      <w:szCs w:val="20"/>
    </w:rPr>
  </w:style>
  <w:style w:type="paragraph" w:customStyle="1" w:styleId="CPESguidelinesSubTitle">
    <w:name w:val="CPES guidelines Sub Title"/>
    <w:basedOn w:val="Heading5"/>
    <w:pPr>
      <w:jc w:val="left"/>
    </w:pPr>
    <w:rPr>
      <w:sz w:val="32"/>
    </w:rPr>
  </w:style>
  <w:style w:type="paragraph" w:customStyle="1" w:styleId="Style1">
    <w:name w:val="Style1"/>
    <w:basedOn w:val="Heading5"/>
    <w:rPr>
      <w:sz w:val="32"/>
    </w:rPr>
  </w:style>
  <w:style w:type="paragraph" w:customStyle="1" w:styleId="CPESdateTitle">
    <w:name w:val="CPES date Title"/>
    <w:basedOn w:val="Header"/>
    <w:rPr>
      <w:rFonts w:ascii="Verdana" w:hAnsi="Verdana"/>
      <w:b/>
      <w:bCs/>
      <w:sz w:val="19"/>
      <w:lang w:val="en-US"/>
    </w:rPr>
  </w:style>
  <w:style w:type="paragraph" w:customStyle="1" w:styleId="DHSText10pt">
    <w:name w:val="DHS Text 10pt"/>
    <w:basedOn w:val="Normal"/>
    <w:pPr>
      <w:widowControl w:val="0"/>
      <w:overflowPunct w:val="0"/>
      <w:autoSpaceDE w:val="0"/>
      <w:autoSpaceDN w:val="0"/>
      <w:adjustRightInd w:val="0"/>
      <w:textAlignment w:val="baseline"/>
    </w:pPr>
    <w:rPr>
      <w:szCs w:val="20"/>
    </w:rPr>
  </w:style>
  <w:style w:type="character" w:styleId="Hyperlink">
    <w:name w:val="Hyperlink"/>
    <w:rPr>
      <w:rFonts w:ascii="Verdana" w:hAnsi="Verdana"/>
      <w:color w:val="0000FF"/>
      <w:u w:val="single"/>
    </w:rPr>
  </w:style>
  <w:style w:type="character" w:styleId="PageNumber">
    <w:name w:val="page number"/>
    <w:basedOn w:val="DefaultParagraphFont"/>
  </w:style>
  <w:style w:type="paragraph" w:customStyle="1" w:styleId="CPESguidelinesbodytext">
    <w:name w:val="CPES guidelines body text"/>
    <w:basedOn w:val="Normal"/>
    <w:rPr>
      <w:lang w:val="en-US"/>
    </w:rPr>
  </w:style>
  <w:style w:type="paragraph" w:styleId="ListBullet3">
    <w:name w:val="List Bullet 3"/>
    <w:aliases w:val="CPES guidelines Bullet Point 1"/>
    <w:basedOn w:val="Normal"/>
    <w:autoRedefine/>
    <w:pPr>
      <w:numPr>
        <w:numId w:val="13"/>
      </w:numPr>
    </w:pPr>
  </w:style>
  <w:style w:type="paragraph" w:styleId="TOC1">
    <w:name w:val="toc 1"/>
    <w:basedOn w:val="Normal"/>
    <w:next w:val="Normal"/>
    <w:autoRedefine/>
    <w:semiHidden/>
    <w:pPr>
      <w:tabs>
        <w:tab w:val="right" w:leader="dot" w:pos="8296"/>
      </w:tabs>
    </w:pPr>
    <w:rPr>
      <w:b/>
      <w:bCs/>
      <w:noProof/>
      <w:szCs w:val="28"/>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character" w:styleId="CommentReference">
    <w:name w:val="annotation reference"/>
    <w:rsid w:val="00041CBA"/>
    <w:rPr>
      <w:sz w:val="16"/>
      <w:szCs w:val="16"/>
    </w:rPr>
  </w:style>
  <w:style w:type="paragraph" w:styleId="CommentText">
    <w:name w:val="annotation text"/>
    <w:basedOn w:val="Normal"/>
    <w:link w:val="CommentTextChar"/>
    <w:rsid w:val="00041CBA"/>
    <w:rPr>
      <w:sz w:val="20"/>
      <w:szCs w:val="20"/>
    </w:rPr>
  </w:style>
  <w:style w:type="character" w:customStyle="1" w:styleId="CommentTextChar">
    <w:name w:val="Comment Text Char"/>
    <w:link w:val="CommentText"/>
    <w:rsid w:val="00041CBA"/>
    <w:rPr>
      <w:rFonts w:ascii="Century Gothic" w:hAnsi="Century Gothic"/>
      <w:lang w:eastAsia="en-US"/>
    </w:rPr>
  </w:style>
  <w:style w:type="paragraph" w:styleId="CommentSubject">
    <w:name w:val="annotation subject"/>
    <w:basedOn w:val="CommentText"/>
    <w:next w:val="CommentText"/>
    <w:link w:val="CommentSubjectChar"/>
    <w:rsid w:val="00041CBA"/>
    <w:rPr>
      <w:b/>
      <w:bCs/>
    </w:rPr>
  </w:style>
  <w:style w:type="character" w:customStyle="1" w:styleId="CommentSubjectChar">
    <w:name w:val="Comment Subject Char"/>
    <w:link w:val="CommentSubject"/>
    <w:rsid w:val="00041CBA"/>
    <w:rPr>
      <w:rFonts w:ascii="Century Gothic" w:hAnsi="Century Gothic"/>
      <w:b/>
      <w:bCs/>
      <w:lang w:eastAsia="en-US"/>
    </w:rPr>
  </w:style>
  <w:style w:type="paragraph" w:styleId="BalloonText">
    <w:name w:val="Balloon Text"/>
    <w:basedOn w:val="Normal"/>
    <w:link w:val="BalloonTextChar"/>
    <w:rsid w:val="00041CBA"/>
    <w:rPr>
      <w:rFonts w:ascii="Segoe UI" w:hAnsi="Segoe UI" w:cs="Segoe UI"/>
      <w:sz w:val="18"/>
      <w:szCs w:val="18"/>
    </w:rPr>
  </w:style>
  <w:style w:type="character" w:customStyle="1" w:styleId="BalloonTextChar">
    <w:name w:val="Balloon Text Char"/>
    <w:link w:val="BalloonText"/>
    <w:rsid w:val="00041CBA"/>
    <w:rPr>
      <w:rFonts w:ascii="Segoe UI" w:hAnsi="Segoe UI" w:cs="Segoe UI"/>
      <w:sz w:val="18"/>
      <w:szCs w:val="18"/>
      <w:lang w:eastAsia="en-US"/>
    </w:rPr>
  </w:style>
  <w:style w:type="character" w:customStyle="1" w:styleId="FooterChar">
    <w:name w:val="Footer Char"/>
    <w:link w:val="Footer"/>
    <w:uiPriority w:val="99"/>
    <w:rsid w:val="00CA3B9E"/>
    <w:rPr>
      <w:rFonts w:ascii="Century Gothic" w:hAnsi="Century Gothic"/>
      <w:sz w:val="22"/>
      <w:szCs w:val="22"/>
      <w:lang w:eastAsia="en-US"/>
    </w:rPr>
  </w:style>
  <w:style w:type="paragraph" w:customStyle="1" w:styleId="Default">
    <w:name w:val="Default"/>
    <w:rsid w:val="002C725F"/>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0A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a/2008-19/current/PDF/2008-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DeathCommittee@ac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deathcommittee.act.gov.au" TargetMode="External"/><Relationship Id="rId4" Type="http://schemas.openxmlformats.org/officeDocument/2006/relationships/settings" Target="settings.xml"/><Relationship Id="rId9" Type="http://schemas.openxmlformats.org/officeDocument/2006/relationships/hyperlink" Target="http://www.act.legislation.act.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9C14-C6F0-42C1-BD87-3A6E039A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EXPRESSIONS OF INTEREST FOR</vt:lpstr>
    </vt:vector>
  </TitlesOfParts>
  <Company>Department of Human Services</Company>
  <LinksUpToDate>false</LinksUpToDate>
  <CharactersWithSpaces>7146</CharactersWithSpaces>
  <SharedDoc>false</SharedDoc>
  <HLinks>
    <vt:vector size="24" baseType="variant">
      <vt:variant>
        <vt:i4>917628</vt:i4>
      </vt:variant>
      <vt:variant>
        <vt:i4>9</vt:i4>
      </vt:variant>
      <vt:variant>
        <vt:i4>0</vt:i4>
      </vt:variant>
      <vt:variant>
        <vt:i4>5</vt:i4>
      </vt:variant>
      <vt:variant>
        <vt:lpwstr>mailto:ChildDeathCommittee@act.gov.au</vt:lpwstr>
      </vt:variant>
      <vt:variant>
        <vt:lpwstr/>
      </vt:variant>
      <vt:variant>
        <vt:i4>6619180</vt:i4>
      </vt:variant>
      <vt:variant>
        <vt:i4>6</vt:i4>
      </vt:variant>
      <vt:variant>
        <vt:i4>0</vt:i4>
      </vt:variant>
      <vt:variant>
        <vt:i4>5</vt:i4>
      </vt:variant>
      <vt:variant>
        <vt:lpwstr>https://www.childdeathcommittee.act.gov.au/</vt:lpwstr>
      </vt:variant>
      <vt:variant>
        <vt:lpwstr/>
      </vt:variant>
      <vt:variant>
        <vt:i4>6946865</vt:i4>
      </vt:variant>
      <vt:variant>
        <vt:i4>3</vt:i4>
      </vt:variant>
      <vt:variant>
        <vt:i4>0</vt:i4>
      </vt:variant>
      <vt:variant>
        <vt:i4>5</vt:i4>
      </vt:variant>
      <vt:variant>
        <vt:lpwstr>http://www.act.legislation.act.gov.au/</vt:lpwstr>
      </vt:variant>
      <vt:variant>
        <vt:lpwstr/>
      </vt:variant>
      <vt:variant>
        <vt:i4>2031629</vt:i4>
      </vt:variant>
      <vt:variant>
        <vt:i4>0</vt:i4>
      </vt:variant>
      <vt:variant>
        <vt:i4>0</vt:i4>
      </vt:variant>
      <vt:variant>
        <vt:i4>5</vt:i4>
      </vt:variant>
      <vt:variant>
        <vt:lpwstr>https://www.legislation.act.gov.au/View/a/2008-19/current/PDF/2008-19.PDF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SC</dc:title>
  <dc:subject/>
  <dc:creator>Lesley McInerney</dc:creator>
  <cp:keywords/>
  <dc:description/>
  <cp:lastModifiedBy>Barr, Beverley (CSD)</cp:lastModifiedBy>
  <cp:revision>2</cp:revision>
  <cp:lastPrinted>2017-11-13T23:00:00Z</cp:lastPrinted>
  <dcterms:created xsi:type="dcterms:W3CDTF">2020-09-21T01:25:00Z</dcterms:created>
  <dcterms:modified xsi:type="dcterms:W3CDTF">2020-09-21T01:25:00Z</dcterms:modified>
</cp:coreProperties>
</file>