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BA3AD" w14:textId="1D14B084" w:rsidR="0083056B" w:rsidRDefault="00701B96" w:rsidP="00701B96">
      <w:pPr>
        <w:jc w:val="right"/>
      </w:pPr>
      <w:r>
        <w:rPr>
          <w:noProof/>
        </w:rPr>
        <w:drawing>
          <wp:inline distT="0" distB="0" distL="0" distR="0" wp14:anchorId="1078757C" wp14:editId="6FB343EC">
            <wp:extent cx="4887110" cy="885825"/>
            <wp:effectExtent l="0" t="0" r="889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tretch>
                      <a:fillRect/>
                    </a:stretch>
                  </pic:blipFill>
                  <pic:spPr>
                    <a:xfrm>
                      <a:off x="0" y="0"/>
                      <a:ext cx="5147819" cy="933080"/>
                    </a:xfrm>
                    <a:prstGeom prst="rect">
                      <a:avLst/>
                    </a:prstGeom>
                  </pic:spPr>
                </pic:pic>
              </a:graphicData>
            </a:graphic>
          </wp:inline>
        </w:drawing>
      </w:r>
    </w:p>
    <w:p w14:paraId="3DC48787" w14:textId="09B03BE0" w:rsidR="00701B96" w:rsidRPr="00701B96" w:rsidRDefault="00701B96" w:rsidP="00701B96">
      <w:pPr>
        <w:jc w:val="right"/>
        <w:rPr>
          <w:sz w:val="16"/>
          <w:szCs w:val="16"/>
        </w:rPr>
      </w:pPr>
      <w:r w:rsidRPr="00701B96">
        <w:rPr>
          <w:sz w:val="16"/>
          <w:szCs w:val="16"/>
        </w:rPr>
        <w:t>GPO Box 158 Canberra City ACT 2601</w:t>
      </w:r>
    </w:p>
    <w:p w14:paraId="48F5ACF5" w14:textId="2A992CAB" w:rsidR="00701B96" w:rsidRPr="00701B96" w:rsidRDefault="00701B96" w:rsidP="00701B96">
      <w:pPr>
        <w:jc w:val="right"/>
        <w:rPr>
          <w:sz w:val="16"/>
          <w:szCs w:val="16"/>
        </w:rPr>
      </w:pPr>
      <w:r w:rsidRPr="00701B96">
        <w:rPr>
          <w:b/>
          <w:bCs/>
          <w:sz w:val="16"/>
          <w:szCs w:val="16"/>
        </w:rPr>
        <w:t xml:space="preserve">t </w:t>
      </w:r>
      <w:r w:rsidRPr="00701B96">
        <w:rPr>
          <w:sz w:val="16"/>
          <w:szCs w:val="16"/>
        </w:rPr>
        <w:t xml:space="preserve">02 6205 2949 | </w:t>
      </w:r>
      <w:r w:rsidRPr="00701B96">
        <w:rPr>
          <w:b/>
          <w:bCs/>
          <w:sz w:val="16"/>
          <w:szCs w:val="16"/>
        </w:rPr>
        <w:t xml:space="preserve">e </w:t>
      </w:r>
      <w:r w:rsidRPr="00701B96">
        <w:rPr>
          <w:sz w:val="16"/>
          <w:szCs w:val="16"/>
        </w:rPr>
        <w:t>childdeathcommittee@act.gov.au</w:t>
      </w:r>
    </w:p>
    <w:p w14:paraId="0D17ED74" w14:textId="77777777" w:rsidR="00CA3B9E" w:rsidRDefault="00CA3B9E" w:rsidP="00701B96">
      <w:pPr>
        <w:spacing w:before="3000"/>
      </w:pPr>
    </w:p>
    <w:tbl>
      <w:tblPr>
        <w:tblpPr w:leftFromText="180" w:rightFromText="180" w:vertAnchor="text" w:tblpY="164"/>
        <w:tblW w:w="810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8100"/>
      </w:tblGrid>
      <w:tr w:rsidR="00CA3B9E" w14:paraId="6B36D22E" w14:textId="77777777" w:rsidTr="00CA3B9E">
        <w:tc>
          <w:tcPr>
            <w:tcW w:w="8100" w:type="dxa"/>
          </w:tcPr>
          <w:p w14:paraId="4D68589C" w14:textId="77777777" w:rsidR="00CA3B9E" w:rsidRPr="00316A01" w:rsidRDefault="000046C6" w:rsidP="00701B96">
            <w:pPr>
              <w:pStyle w:val="CPESguidelinesSubTitle"/>
              <w:spacing w:before="480"/>
            </w:pPr>
            <w:r>
              <w:t>Information Guide</w:t>
            </w:r>
          </w:p>
          <w:p w14:paraId="50791A1E" w14:textId="327F503E" w:rsidR="00CA3B9E" w:rsidRDefault="00CA3B9E" w:rsidP="00701B96">
            <w:pPr>
              <w:pStyle w:val="CPESguidelinesSubTitle"/>
              <w:spacing w:before="240" w:after="720"/>
            </w:pPr>
            <w:r w:rsidRPr="00316A01">
              <w:t>The ACT Child and Young People Death Review Committee</w:t>
            </w:r>
          </w:p>
          <w:p w14:paraId="50EBD9DF" w14:textId="77777777" w:rsidR="00CA3B9E" w:rsidRPr="00316A01" w:rsidRDefault="0054754D" w:rsidP="00CA3B9E">
            <w:pPr>
              <w:pStyle w:val="CPESguidelinesSubTitle"/>
            </w:pPr>
            <w:r>
              <w:t>September 2020</w:t>
            </w:r>
          </w:p>
          <w:p w14:paraId="03122C36" w14:textId="77777777" w:rsidR="00CA3B9E" w:rsidRDefault="00CA3B9E" w:rsidP="00CA3B9E"/>
        </w:tc>
      </w:tr>
    </w:tbl>
    <w:p w14:paraId="5E25953F" w14:textId="77777777" w:rsidR="007107D3" w:rsidRPr="007107D3" w:rsidRDefault="001E5F1E" w:rsidP="007107D3">
      <w:pPr>
        <w:rPr>
          <w:rFonts w:eastAsia="Calibri" w:cs="Calibri"/>
          <w:sz w:val="20"/>
          <w:szCs w:val="20"/>
          <w:lang w:eastAsia="en-AU"/>
        </w:rPr>
      </w:pPr>
      <w:r>
        <w:br w:type="page"/>
      </w:r>
    </w:p>
    <w:p w14:paraId="62DB6A3A" w14:textId="77777777" w:rsidR="007069FE" w:rsidRPr="00643495" w:rsidRDefault="00643495" w:rsidP="00701B96">
      <w:pPr>
        <w:pStyle w:val="Heading1"/>
      </w:pPr>
      <w:r w:rsidRPr="00643495">
        <w:lastRenderedPageBreak/>
        <w:t xml:space="preserve">About the </w:t>
      </w:r>
      <w:r w:rsidRPr="00701B96">
        <w:t>Committee</w:t>
      </w:r>
    </w:p>
    <w:p w14:paraId="56EA2E19" w14:textId="77777777" w:rsidR="00643495" w:rsidRDefault="00643495" w:rsidP="008B3809">
      <w:pPr>
        <w:ind w:right="-483"/>
      </w:pPr>
      <w:r>
        <w:t xml:space="preserve">The ACT Children and Young People Death Review Committee (CYPDRC) is established under </w:t>
      </w:r>
      <w:r w:rsidRPr="00643495">
        <w:rPr>
          <w:i/>
        </w:rPr>
        <w:t>the Children and Young people ACT 2008</w:t>
      </w:r>
      <w:r>
        <w:t xml:space="preserve"> (the Act). The Act can be located on the ACT legislation register </w:t>
      </w:r>
      <w:hyperlink r:id="rId9" w:history="1">
        <w:r w:rsidRPr="00071330">
          <w:rPr>
            <w:rStyle w:val="Hyperlink"/>
            <w:rFonts w:ascii="Century Gothic" w:hAnsi="Century Gothic"/>
          </w:rPr>
          <w:t>www.act.legislation.act.gov.au</w:t>
        </w:r>
      </w:hyperlink>
    </w:p>
    <w:p w14:paraId="70F7622D" w14:textId="77777777" w:rsidR="00643495" w:rsidRDefault="00643495" w:rsidP="008B3809">
      <w:pPr>
        <w:ind w:right="-483"/>
      </w:pPr>
    </w:p>
    <w:p w14:paraId="5D7E442B" w14:textId="77777777" w:rsidR="00643495" w:rsidRDefault="00643495" w:rsidP="008B3809">
      <w:pPr>
        <w:ind w:right="-483"/>
      </w:pPr>
      <w:r>
        <w:t xml:space="preserve">The CYPDRC has the following functions: </w:t>
      </w:r>
    </w:p>
    <w:p w14:paraId="500A0E25" w14:textId="77777777" w:rsidR="00643495" w:rsidRDefault="00643495" w:rsidP="008B3809">
      <w:pPr>
        <w:ind w:right="-483"/>
      </w:pPr>
    </w:p>
    <w:p w14:paraId="2CCD8A31" w14:textId="77777777" w:rsidR="00643495" w:rsidRDefault="00643495" w:rsidP="00643495">
      <w:pPr>
        <w:spacing w:line="276" w:lineRule="auto"/>
        <w:ind w:left="284" w:right="-483"/>
      </w:pPr>
      <w:r>
        <w:t>(a) to keep a register of deaths of children and young people under part 19A.</w:t>
      </w:r>
      <w:proofErr w:type="gramStart"/>
      <w:r>
        <w:t>3;</w:t>
      </w:r>
      <w:proofErr w:type="gramEnd"/>
    </w:p>
    <w:p w14:paraId="643B5117" w14:textId="77777777" w:rsidR="00643495" w:rsidRDefault="00643495" w:rsidP="00643495">
      <w:pPr>
        <w:spacing w:line="276" w:lineRule="auto"/>
        <w:ind w:left="284" w:right="-483"/>
      </w:pPr>
      <w:r>
        <w:t xml:space="preserve">(b) to identify patterns and trends in relation to the deaths of children and young </w:t>
      </w:r>
      <w:proofErr w:type="gramStart"/>
      <w:r>
        <w:t>people;</w:t>
      </w:r>
      <w:proofErr w:type="gramEnd"/>
    </w:p>
    <w:p w14:paraId="52A2D0A5" w14:textId="77777777" w:rsidR="00643495" w:rsidRDefault="00643495" w:rsidP="00643495">
      <w:pPr>
        <w:spacing w:line="276" w:lineRule="auto"/>
        <w:ind w:left="284" w:right="-483"/>
      </w:pPr>
      <w:r>
        <w:t xml:space="preserve">(c) to undertake research that aims to help prevent or reduce the likelihood of the death of children and young </w:t>
      </w:r>
      <w:proofErr w:type="gramStart"/>
      <w:r>
        <w:t>people;</w:t>
      </w:r>
      <w:proofErr w:type="gramEnd"/>
    </w:p>
    <w:p w14:paraId="4B2B3C5B" w14:textId="77777777" w:rsidR="00643495" w:rsidRDefault="00643495" w:rsidP="00643495">
      <w:pPr>
        <w:spacing w:line="276" w:lineRule="auto"/>
        <w:ind w:left="284" w:right="-483"/>
      </w:pPr>
      <w:r>
        <w:t xml:space="preserve">(d) to identify areas requiring further research, by the committee or another entity, that arise from the identified patterns and trends in relation to the deaths of children and young </w:t>
      </w:r>
      <w:proofErr w:type="gramStart"/>
      <w:r>
        <w:t>people;</w:t>
      </w:r>
      <w:proofErr w:type="gramEnd"/>
    </w:p>
    <w:p w14:paraId="54B756E9" w14:textId="77777777" w:rsidR="00643495" w:rsidRDefault="00643495" w:rsidP="00643495">
      <w:pPr>
        <w:spacing w:line="276" w:lineRule="auto"/>
        <w:ind w:left="284" w:right="-483"/>
      </w:pPr>
      <w:r>
        <w:t xml:space="preserve">(e) to make recommendations about legislation, policies, practices and services for implementation by the Territory and non-government bodies to help prevent or reduce the likelihood of the death of children and young </w:t>
      </w:r>
      <w:proofErr w:type="gramStart"/>
      <w:r>
        <w:t>people;</w:t>
      </w:r>
      <w:proofErr w:type="gramEnd"/>
    </w:p>
    <w:p w14:paraId="188DF90C" w14:textId="77777777" w:rsidR="00643495" w:rsidRDefault="00643495" w:rsidP="00643495">
      <w:pPr>
        <w:spacing w:line="276" w:lineRule="auto"/>
        <w:ind w:left="284" w:right="-483"/>
      </w:pPr>
      <w:r>
        <w:t xml:space="preserve">(f) to monitor the implementation of the committee’s </w:t>
      </w:r>
      <w:proofErr w:type="gramStart"/>
      <w:r>
        <w:t>recommendations;</w:t>
      </w:r>
      <w:proofErr w:type="gramEnd"/>
    </w:p>
    <w:p w14:paraId="1997F104" w14:textId="77777777" w:rsidR="00643495" w:rsidRDefault="00643495" w:rsidP="00643495">
      <w:pPr>
        <w:spacing w:line="276" w:lineRule="auto"/>
        <w:ind w:left="284" w:right="-483"/>
      </w:pPr>
      <w:r>
        <w:t>(g) to report to the Minister under part 19A.</w:t>
      </w:r>
      <w:proofErr w:type="gramStart"/>
      <w:r>
        <w:t>4;</w:t>
      </w:r>
      <w:proofErr w:type="gramEnd"/>
    </w:p>
    <w:p w14:paraId="7505EE02" w14:textId="77777777" w:rsidR="00643495" w:rsidRDefault="00643495" w:rsidP="00643495">
      <w:pPr>
        <w:spacing w:line="276" w:lineRule="auto"/>
        <w:ind w:left="284" w:right="-483"/>
      </w:pPr>
      <w:r>
        <w:t>(h) any other function given to the committee under this chapter.</w:t>
      </w:r>
    </w:p>
    <w:p w14:paraId="7F88AE78" w14:textId="77777777" w:rsidR="00643495" w:rsidRDefault="00643495" w:rsidP="00643495">
      <w:pPr>
        <w:spacing w:line="276" w:lineRule="auto"/>
        <w:ind w:right="-483"/>
      </w:pPr>
    </w:p>
    <w:p w14:paraId="399A3997" w14:textId="77777777" w:rsidR="00643495" w:rsidRDefault="00643495" w:rsidP="00643495">
      <w:pPr>
        <w:ind w:right="-483"/>
      </w:pPr>
      <w:r>
        <w:t>(2) The CYP death review committee has no function in relation to</w:t>
      </w:r>
    </w:p>
    <w:p w14:paraId="6CA02367" w14:textId="77777777" w:rsidR="00643495" w:rsidRDefault="00643495" w:rsidP="00643495">
      <w:pPr>
        <w:ind w:right="-483"/>
      </w:pPr>
      <w:r>
        <w:t>reviewing the cause of death of a particular child or young person.</w:t>
      </w:r>
    </w:p>
    <w:p w14:paraId="4D8293B6" w14:textId="77777777" w:rsidR="00643495" w:rsidRDefault="00643495" w:rsidP="00643495">
      <w:pPr>
        <w:ind w:right="-483"/>
      </w:pPr>
    </w:p>
    <w:p w14:paraId="25699891" w14:textId="77777777" w:rsidR="00643495" w:rsidRDefault="00643495" w:rsidP="00643495">
      <w:pPr>
        <w:ind w:right="-483"/>
      </w:pPr>
      <w:r w:rsidRPr="00643495">
        <w:rPr>
          <w:b/>
        </w:rPr>
        <w:t>Please note</w:t>
      </w:r>
      <w:r>
        <w:t>: The CYPDRC has no function in relation to reviewing the cause of death of a particular child or young person.</w:t>
      </w:r>
    </w:p>
    <w:p w14:paraId="41A8E609" w14:textId="77777777" w:rsidR="00643495" w:rsidRDefault="00643495" w:rsidP="00701B96">
      <w:pPr>
        <w:pStyle w:val="Heading1"/>
      </w:pPr>
      <w:r>
        <w:t>Register of Deaths of Children and Young People</w:t>
      </w:r>
    </w:p>
    <w:p w14:paraId="648F3CD5" w14:textId="77777777" w:rsidR="00643495" w:rsidRDefault="00643495" w:rsidP="00643495">
      <w:pPr>
        <w:ind w:right="-483"/>
      </w:pPr>
      <w:r>
        <w:t>The CYPDRC is required to keep a register of deaths of children and you</w:t>
      </w:r>
      <w:r w:rsidR="00E103BD">
        <w:t xml:space="preserve">ng people that occur in the ACT </w:t>
      </w:r>
      <w:r>
        <w:t>and</w:t>
      </w:r>
      <w:r w:rsidR="00E103BD">
        <w:t xml:space="preserve"> those</w:t>
      </w:r>
      <w:r>
        <w:t xml:space="preserve"> that occur outside the ACT of children and young</w:t>
      </w:r>
      <w:r w:rsidR="00E103BD">
        <w:t xml:space="preserve"> </w:t>
      </w:r>
      <w:r>
        <w:t>people who normally live in the ACT.</w:t>
      </w:r>
    </w:p>
    <w:p w14:paraId="661DAA77" w14:textId="77777777" w:rsidR="00643495" w:rsidRDefault="00643495" w:rsidP="00643495">
      <w:pPr>
        <w:ind w:right="-483"/>
      </w:pPr>
    </w:p>
    <w:p w14:paraId="1B21976F" w14:textId="77777777" w:rsidR="00E103BD" w:rsidRDefault="00E103BD" w:rsidP="00E103BD">
      <w:pPr>
        <w:ind w:right="-483"/>
      </w:pPr>
      <w:r>
        <w:t xml:space="preserve">The Register must include information that is available to the CYPDRC. This include the cause of the death of the child or young person; the age and sex of the child or young </w:t>
      </w:r>
      <w:proofErr w:type="gramStart"/>
      <w:r>
        <w:t>person;</w:t>
      </w:r>
      <w:proofErr w:type="gramEnd"/>
      <w:r>
        <w:t xml:space="preserve"> whether the child or young person is an Aboriginal or Torres</w:t>
      </w:r>
    </w:p>
    <w:p w14:paraId="72BB4EFE" w14:textId="77777777" w:rsidR="00643495" w:rsidRDefault="00E103BD" w:rsidP="00E103BD">
      <w:pPr>
        <w:ind w:right="-483"/>
      </w:pPr>
      <w:r>
        <w:t xml:space="preserve">Strait Islander </w:t>
      </w:r>
      <w:proofErr w:type="gramStart"/>
      <w:r>
        <w:t>person;</w:t>
      </w:r>
      <w:proofErr w:type="gramEnd"/>
      <w:r>
        <w:t xml:space="preserve"> whether, within 3 years before his or her death, the child or young person, or a sibling of the child or young person, were the subject to a child protection report.</w:t>
      </w:r>
    </w:p>
    <w:p w14:paraId="16D26607" w14:textId="77777777" w:rsidR="00E103BD" w:rsidRDefault="00E103BD" w:rsidP="00E103BD">
      <w:pPr>
        <w:ind w:right="-483"/>
      </w:pPr>
    </w:p>
    <w:p w14:paraId="20A0E8D8" w14:textId="77777777" w:rsidR="00E103BD" w:rsidRDefault="00E103BD" w:rsidP="00E103BD">
      <w:pPr>
        <w:ind w:right="-483"/>
      </w:pPr>
      <w:r>
        <w:t xml:space="preserve">In </w:t>
      </w:r>
      <w:proofErr w:type="gramStart"/>
      <w:r>
        <w:t>addition</w:t>
      </w:r>
      <w:proofErr w:type="gramEnd"/>
      <w:r>
        <w:t xml:space="preserve"> the register can contain other demographic data available, information about the circumstances of death and any other information the committee considers relevant.</w:t>
      </w:r>
    </w:p>
    <w:p w14:paraId="25C6F4DE" w14:textId="77777777" w:rsidR="00701B96" w:rsidRDefault="00701B96">
      <w:pPr>
        <w:rPr>
          <w:b/>
          <w:color w:val="2E74B5"/>
          <w:sz w:val="24"/>
          <w:szCs w:val="20"/>
        </w:rPr>
      </w:pPr>
      <w:r>
        <w:br w:type="page"/>
      </w:r>
    </w:p>
    <w:p w14:paraId="316314A9" w14:textId="1C5C8E2C" w:rsidR="00643495" w:rsidRDefault="00E103BD" w:rsidP="00701B96">
      <w:pPr>
        <w:pStyle w:val="Heading1"/>
      </w:pPr>
      <w:r>
        <w:lastRenderedPageBreak/>
        <w:t>Reporting</w:t>
      </w:r>
    </w:p>
    <w:p w14:paraId="411C524A" w14:textId="77777777" w:rsidR="005D7FFE" w:rsidRDefault="005D7FFE" w:rsidP="00E103BD">
      <w:pPr>
        <w:ind w:right="-483"/>
      </w:pPr>
      <w:r>
        <w:t xml:space="preserve">The CYPDRC has published </w:t>
      </w:r>
      <w:r w:rsidR="0054754D">
        <w:t xml:space="preserve">eight </w:t>
      </w:r>
      <w:r>
        <w:t>annual reports about the deaths of children and young people who have died in the ACT.</w:t>
      </w:r>
    </w:p>
    <w:p w14:paraId="768DB1E1" w14:textId="77777777" w:rsidR="005D7FFE" w:rsidRDefault="005D7FFE" w:rsidP="00E103BD">
      <w:pPr>
        <w:ind w:right="-483"/>
      </w:pPr>
    </w:p>
    <w:p w14:paraId="34EDEC24" w14:textId="77777777" w:rsidR="005D7FFE" w:rsidRDefault="005D7FFE" w:rsidP="00E103BD">
      <w:pPr>
        <w:ind w:right="-483"/>
      </w:pPr>
      <w:r>
        <w:t>A retrospective report on the deaths of children and young people that occurred between 1 January 2004 and 17 September 2011 (s727) has also been published.</w:t>
      </w:r>
    </w:p>
    <w:p w14:paraId="2688EE08" w14:textId="77777777" w:rsidR="005D7FFE" w:rsidRDefault="005D7FFE" w:rsidP="00E103BD">
      <w:pPr>
        <w:ind w:right="-483"/>
      </w:pPr>
    </w:p>
    <w:p w14:paraId="6E207149" w14:textId="77777777" w:rsidR="00E103BD" w:rsidRDefault="00E103BD" w:rsidP="00E103BD">
      <w:pPr>
        <w:ind w:right="-483"/>
      </w:pPr>
      <w:r>
        <w:t xml:space="preserve">For each calendar year, the CYPDRC must report to the Minister about </w:t>
      </w:r>
      <w:r w:rsidR="00061745">
        <w:t>the following</w:t>
      </w:r>
      <w:r>
        <w:t xml:space="preserve"> in relation to the deaths of children and young people included on the children and young people deaths register during the year:</w:t>
      </w:r>
    </w:p>
    <w:p w14:paraId="6DA6E930" w14:textId="77777777" w:rsidR="00E103BD" w:rsidRDefault="00E103BD" w:rsidP="005D7FFE">
      <w:pPr>
        <w:numPr>
          <w:ilvl w:val="0"/>
          <w:numId w:val="39"/>
        </w:numPr>
        <w:ind w:right="-483"/>
      </w:pPr>
      <w:r>
        <w:t xml:space="preserve">the number of deaths of children and young </w:t>
      </w:r>
      <w:proofErr w:type="gramStart"/>
      <w:r>
        <w:t>people;</w:t>
      </w:r>
      <w:proofErr w:type="gramEnd"/>
    </w:p>
    <w:p w14:paraId="374CD764" w14:textId="77777777" w:rsidR="005D7FFE" w:rsidRDefault="00E103BD" w:rsidP="005D7FFE">
      <w:pPr>
        <w:numPr>
          <w:ilvl w:val="0"/>
          <w:numId w:val="39"/>
        </w:numPr>
        <w:ind w:right="-483"/>
      </w:pPr>
      <w:r>
        <w:t xml:space="preserve">the age and sex of each child or young person who died </w:t>
      </w:r>
    </w:p>
    <w:p w14:paraId="19EFE209" w14:textId="77777777" w:rsidR="00E103BD" w:rsidRDefault="00E103BD" w:rsidP="005D7FFE">
      <w:pPr>
        <w:numPr>
          <w:ilvl w:val="0"/>
          <w:numId w:val="39"/>
        </w:numPr>
        <w:ind w:right="-483"/>
      </w:pPr>
      <w:r>
        <w:t>whether, within 3 years before his or her death, the child or</w:t>
      </w:r>
      <w:r w:rsidR="005D7FFE">
        <w:t xml:space="preserve"> </w:t>
      </w:r>
      <w:r>
        <w:t>young person, or a sibling of the child or young person, was</w:t>
      </w:r>
      <w:r w:rsidR="005D7FFE">
        <w:t xml:space="preserve"> </w:t>
      </w:r>
      <w:r>
        <w:t xml:space="preserve">the subject of a child protection </w:t>
      </w:r>
      <w:proofErr w:type="gramStart"/>
      <w:r>
        <w:t>report;</w:t>
      </w:r>
      <w:proofErr w:type="gramEnd"/>
    </w:p>
    <w:p w14:paraId="22BF2A6B" w14:textId="77777777" w:rsidR="00643495" w:rsidRDefault="00E103BD" w:rsidP="005D7FFE">
      <w:pPr>
        <w:numPr>
          <w:ilvl w:val="0"/>
          <w:numId w:val="39"/>
        </w:numPr>
        <w:ind w:right="-483"/>
      </w:pPr>
      <w:r>
        <w:t>the patterns or trends (if any) identified in relation to the deaths</w:t>
      </w:r>
      <w:r w:rsidR="005D7FFE">
        <w:t xml:space="preserve"> of children and young people generally.</w:t>
      </w:r>
    </w:p>
    <w:p w14:paraId="1ACB18B9" w14:textId="77777777" w:rsidR="0054754D" w:rsidRDefault="0054754D" w:rsidP="0054754D">
      <w:pPr>
        <w:ind w:right="-483"/>
      </w:pPr>
    </w:p>
    <w:p w14:paraId="7C80407A" w14:textId="77777777" w:rsidR="0054754D" w:rsidRDefault="0054754D" w:rsidP="0054754D">
      <w:pPr>
        <w:ind w:right="-483"/>
      </w:pPr>
      <w:r>
        <w:t xml:space="preserve">In 2018 The Committee completed a group review of eleven children aged 0 to 3 years who died in the ACT prior to 2014 and who were subject to a closed coronial inquiry. The Committee is currently undertaking a review into ACT children and young people who died by intentional self-harm between 2017 and 2019. </w:t>
      </w:r>
    </w:p>
    <w:p w14:paraId="4B2302C9" w14:textId="77777777" w:rsidR="00643495" w:rsidRDefault="00061745" w:rsidP="00701B96">
      <w:pPr>
        <w:pStyle w:val="Heading1"/>
      </w:pPr>
      <w:r>
        <w:t xml:space="preserve">Committee </w:t>
      </w:r>
      <w:r w:rsidRPr="00701B96">
        <w:t>membership</w:t>
      </w:r>
    </w:p>
    <w:p w14:paraId="192EC61E" w14:textId="77777777" w:rsidR="00061745" w:rsidRDefault="00061745" w:rsidP="00061745">
      <w:pPr>
        <w:ind w:right="-483"/>
      </w:pPr>
      <w:r>
        <w:t xml:space="preserve">The CYPDRC </w:t>
      </w:r>
      <w:r w:rsidR="009C7395">
        <w:t>is made up of:</w:t>
      </w:r>
    </w:p>
    <w:p w14:paraId="3273325C" w14:textId="77777777" w:rsidR="00061745" w:rsidRDefault="00061745" w:rsidP="00061745">
      <w:pPr>
        <w:numPr>
          <w:ilvl w:val="0"/>
          <w:numId w:val="36"/>
        </w:numPr>
        <w:ind w:right="-483"/>
      </w:pPr>
      <w:r>
        <w:t>the director-general (responsible for the administration of the Act)</w:t>
      </w:r>
    </w:p>
    <w:p w14:paraId="085FB583" w14:textId="77777777" w:rsidR="00061745" w:rsidRDefault="00061745" w:rsidP="00061745">
      <w:pPr>
        <w:numPr>
          <w:ilvl w:val="0"/>
          <w:numId w:val="36"/>
        </w:numPr>
        <w:ind w:right="-483"/>
      </w:pPr>
      <w:r>
        <w:t>the children and young people commissioner; and</w:t>
      </w:r>
    </w:p>
    <w:p w14:paraId="5AC31E02" w14:textId="77777777" w:rsidR="00061745" w:rsidRDefault="00061745" w:rsidP="00061745">
      <w:pPr>
        <w:numPr>
          <w:ilvl w:val="0"/>
          <w:numId w:val="36"/>
        </w:numPr>
        <w:ind w:right="-483"/>
      </w:pPr>
      <w:r>
        <w:t xml:space="preserve">the members appointed by the Minister </w:t>
      </w:r>
    </w:p>
    <w:p w14:paraId="0A630E25" w14:textId="77777777" w:rsidR="00643495" w:rsidRDefault="00061745" w:rsidP="00061745">
      <w:pPr>
        <w:numPr>
          <w:ilvl w:val="0"/>
          <w:numId w:val="36"/>
        </w:numPr>
        <w:ind w:right="-483"/>
      </w:pPr>
      <w:r>
        <w:t>the chair appointed by the Minister.</w:t>
      </w:r>
    </w:p>
    <w:p w14:paraId="152245A2" w14:textId="77777777" w:rsidR="00643495" w:rsidRDefault="00643495" w:rsidP="00643495">
      <w:pPr>
        <w:ind w:right="-483"/>
      </w:pPr>
    </w:p>
    <w:p w14:paraId="5ED6276D" w14:textId="77777777" w:rsidR="00061745" w:rsidRDefault="00061745" w:rsidP="00643495">
      <w:pPr>
        <w:ind w:right="-483"/>
      </w:pPr>
      <w:r>
        <w:t>The Minister responsible for the Act must appoint someone as the Chair of the Committee. The current Chair is Ms Margaret Carmody PSM.</w:t>
      </w:r>
    </w:p>
    <w:p w14:paraId="58B356B0" w14:textId="77777777" w:rsidR="00061745" w:rsidRDefault="00061745" w:rsidP="00643495">
      <w:pPr>
        <w:ind w:right="-483"/>
      </w:pPr>
    </w:p>
    <w:p w14:paraId="731192D3" w14:textId="77777777" w:rsidR="00061745" w:rsidRDefault="00061745" w:rsidP="00643495">
      <w:pPr>
        <w:ind w:right="-483"/>
      </w:pPr>
      <w:r>
        <w:t>The Minister must also appoint at least eight and no more than ten members to the CYPDRC. Appointments can be for no longer than three years.</w:t>
      </w:r>
    </w:p>
    <w:p w14:paraId="043A9048" w14:textId="77777777" w:rsidR="00061745" w:rsidRDefault="00061745" w:rsidP="00643495">
      <w:pPr>
        <w:ind w:right="-483"/>
      </w:pPr>
    </w:p>
    <w:p w14:paraId="55BDD5B9" w14:textId="77777777" w:rsidR="00061745" w:rsidRDefault="00061745" w:rsidP="00643495">
      <w:pPr>
        <w:ind w:right="-483"/>
      </w:pPr>
      <w:r>
        <w:t xml:space="preserve">The Chair and committee members must meet certain requirements </w:t>
      </w:r>
      <w:proofErr w:type="gramStart"/>
      <w:r>
        <w:t>in order to</w:t>
      </w:r>
      <w:proofErr w:type="gramEnd"/>
      <w:r>
        <w:t xml:space="preserve"> be considered for appointment.</w:t>
      </w:r>
    </w:p>
    <w:p w14:paraId="6EBD038E" w14:textId="77777777" w:rsidR="00DA1328" w:rsidRDefault="00DA1328" w:rsidP="00643495">
      <w:pPr>
        <w:ind w:right="-483"/>
      </w:pPr>
    </w:p>
    <w:p w14:paraId="643E4742" w14:textId="77777777" w:rsidR="00061745" w:rsidRDefault="00DA1328" w:rsidP="00643495">
      <w:pPr>
        <w:ind w:right="-483"/>
      </w:pPr>
      <w:r>
        <w:t>The Chair must:</w:t>
      </w:r>
    </w:p>
    <w:p w14:paraId="4440A5BD" w14:textId="77777777" w:rsidR="00DA1328" w:rsidRDefault="00DA1328" w:rsidP="00DA1328">
      <w:pPr>
        <w:numPr>
          <w:ilvl w:val="0"/>
          <w:numId w:val="38"/>
        </w:numPr>
        <w:ind w:right="-483"/>
      </w:pPr>
      <w:r>
        <w:t xml:space="preserve">Not also be a member if the committee </w:t>
      </w:r>
    </w:p>
    <w:p w14:paraId="7F2319AD" w14:textId="77777777" w:rsidR="00DA1328" w:rsidRDefault="00DA1328" w:rsidP="00DA1328">
      <w:pPr>
        <w:numPr>
          <w:ilvl w:val="0"/>
          <w:numId w:val="38"/>
        </w:numPr>
        <w:ind w:right="-483"/>
      </w:pPr>
      <w:r>
        <w:t>Have expertise and experience to be the Chair of the CYPDRC</w:t>
      </w:r>
    </w:p>
    <w:p w14:paraId="009CEFC6" w14:textId="77777777" w:rsidR="00DA1328" w:rsidRDefault="00DA1328" w:rsidP="00DA1328">
      <w:pPr>
        <w:numPr>
          <w:ilvl w:val="0"/>
          <w:numId w:val="38"/>
        </w:numPr>
        <w:ind w:right="-483"/>
      </w:pPr>
      <w:r>
        <w:t>Be otherwise suitable to be the Chair.</w:t>
      </w:r>
    </w:p>
    <w:p w14:paraId="1FA71E07" w14:textId="77777777" w:rsidR="00DA1328" w:rsidRDefault="00DA1328" w:rsidP="00DA1328">
      <w:pPr>
        <w:ind w:left="720" w:right="-483"/>
      </w:pPr>
    </w:p>
    <w:p w14:paraId="6937B4A1" w14:textId="77777777" w:rsidR="00061745" w:rsidRDefault="00061745" w:rsidP="00643495">
      <w:pPr>
        <w:ind w:right="-483"/>
      </w:pPr>
      <w:r>
        <w:t>The members must be individuals who have experience or expertise in at least one of the following:</w:t>
      </w:r>
    </w:p>
    <w:p w14:paraId="191971C6" w14:textId="77777777" w:rsidR="00061745" w:rsidRDefault="00061745" w:rsidP="00643495">
      <w:pPr>
        <w:ind w:right="-483"/>
      </w:pPr>
    </w:p>
    <w:p w14:paraId="002E7CAB" w14:textId="77777777" w:rsidR="008B3809" w:rsidRDefault="008B3809" w:rsidP="008B3809">
      <w:pPr>
        <w:numPr>
          <w:ilvl w:val="0"/>
          <w:numId w:val="32"/>
        </w:numPr>
        <w:ind w:right="-483"/>
      </w:pPr>
      <w:proofErr w:type="gramStart"/>
      <w:r>
        <w:t>psychology;</w:t>
      </w:r>
      <w:proofErr w:type="gramEnd"/>
    </w:p>
    <w:p w14:paraId="12716764" w14:textId="77777777" w:rsidR="008B3809" w:rsidRDefault="008B3809" w:rsidP="008B3809">
      <w:pPr>
        <w:numPr>
          <w:ilvl w:val="0"/>
          <w:numId w:val="32"/>
        </w:numPr>
      </w:pPr>
      <w:proofErr w:type="gramStart"/>
      <w:r>
        <w:t>paediatrics;</w:t>
      </w:r>
      <w:proofErr w:type="gramEnd"/>
    </w:p>
    <w:p w14:paraId="239834CF" w14:textId="77777777" w:rsidR="008B3809" w:rsidRDefault="008B3809" w:rsidP="008B3809">
      <w:pPr>
        <w:numPr>
          <w:ilvl w:val="0"/>
          <w:numId w:val="32"/>
        </w:numPr>
      </w:pPr>
      <w:proofErr w:type="gramStart"/>
      <w:r>
        <w:t>epidemiology;</w:t>
      </w:r>
      <w:proofErr w:type="gramEnd"/>
    </w:p>
    <w:p w14:paraId="212EA400" w14:textId="77777777" w:rsidR="008B3809" w:rsidRDefault="008B3809" w:rsidP="008B3809">
      <w:pPr>
        <w:numPr>
          <w:ilvl w:val="0"/>
          <w:numId w:val="32"/>
        </w:numPr>
      </w:pPr>
      <w:r>
        <w:lastRenderedPageBreak/>
        <w:t xml:space="preserve">public health </w:t>
      </w:r>
      <w:proofErr w:type="gramStart"/>
      <w:r>
        <w:t>administration;</w:t>
      </w:r>
      <w:proofErr w:type="gramEnd"/>
    </w:p>
    <w:p w14:paraId="155665E6" w14:textId="77777777" w:rsidR="008B3809" w:rsidRDefault="008B3809" w:rsidP="008B3809">
      <w:pPr>
        <w:numPr>
          <w:ilvl w:val="0"/>
          <w:numId w:val="32"/>
        </w:numPr>
      </w:pPr>
      <w:r>
        <w:t xml:space="preserve">engineering and child safety products or </w:t>
      </w:r>
      <w:proofErr w:type="gramStart"/>
      <w:r>
        <w:t>systems;</w:t>
      </w:r>
      <w:proofErr w:type="gramEnd"/>
    </w:p>
    <w:p w14:paraId="2E8FF07D" w14:textId="77777777" w:rsidR="008B3809" w:rsidRDefault="008B3809" w:rsidP="008B3809">
      <w:pPr>
        <w:numPr>
          <w:ilvl w:val="0"/>
          <w:numId w:val="32"/>
        </w:numPr>
      </w:pPr>
      <w:r>
        <w:t xml:space="preserve">working with Aboriginal and Torres Strait Islander children and young </w:t>
      </w:r>
      <w:proofErr w:type="gramStart"/>
      <w:r>
        <w:t>people;</w:t>
      </w:r>
      <w:proofErr w:type="gramEnd"/>
    </w:p>
    <w:p w14:paraId="6309AD45" w14:textId="77777777" w:rsidR="008B3809" w:rsidRDefault="008B3809" w:rsidP="008B3809">
      <w:pPr>
        <w:numPr>
          <w:ilvl w:val="0"/>
          <w:numId w:val="32"/>
        </w:numPr>
      </w:pPr>
      <w:r>
        <w:t xml:space="preserve">social </w:t>
      </w:r>
      <w:proofErr w:type="gramStart"/>
      <w:r>
        <w:t>work;</w:t>
      </w:r>
      <w:proofErr w:type="gramEnd"/>
    </w:p>
    <w:p w14:paraId="0549234F" w14:textId="77777777" w:rsidR="008B3809" w:rsidRDefault="008B3809" w:rsidP="008B3809">
      <w:pPr>
        <w:numPr>
          <w:ilvl w:val="0"/>
          <w:numId w:val="32"/>
        </w:numPr>
      </w:pPr>
      <w:proofErr w:type="gramStart"/>
      <w:r>
        <w:t>investigations;</w:t>
      </w:r>
      <w:proofErr w:type="gramEnd"/>
    </w:p>
    <w:p w14:paraId="61DC4F1C" w14:textId="77777777" w:rsidR="008B3809" w:rsidRDefault="008B3809" w:rsidP="008B3809">
      <w:pPr>
        <w:numPr>
          <w:ilvl w:val="0"/>
          <w:numId w:val="32"/>
        </w:numPr>
      </w:pPr>
      <w:r>
        <w:t xml:space="preserve">mental </w:t>
      </w:r>
      <w:proofErr w:type="gramStart"/>
      <w:r>
        <w:t>health;</w:t>
      </w:r>
      <w:proofErr w:type="gramEnd"/>
    </w:p>
    <w:p w14:paraId="5BD3D4F7" w14:textId="77777777" w:rsidR="008B3809" w:rsidRDefault="008B3809" w:rsidP="008B3809">
      <w:pPr>
        <w:numPr>
          <w:ilvl w:val="0"/>
          <w:numId w:val="32"/>
        </w:numPr>
      </w:pPr>
      <w:r>
        <w:t>child protection; or</w:t>
      </w:r>
    </w:p>
    <w:p w14:paraId="689DE1DE" w14:textId="77777777" w:rsidR="008B3809" w:rsidRDefault="008B3809" w:rsidP="008B3809">
      <w:pPr>
        <w:numPr>
          <w:ilvl w:val="0"/>
          <w:numId w:val="32"/>
        </w:numPr>
      </w:pPr>
      <w:r>
        <w:t>has other qualifications, experience or expertise, or membership of an organisation, relevant to exercising the functions of a committee member</w:t>
      </w:r>
      <w:r w:rsidR="009D0A3C">
        <w:t>.</w:t>
      </w:r>
    </w:p>
    <w:p w14:paraId="0BEEEF32" w14:textId="77777777" w:rsidR="007069FE" w:rsidRDefault="007069FE" w:rsidP="00316A01"/>
    <w:p w14:paraId="685B1A11" w14:textId="77777777" w:rsidR="008B3809" w:rsidRDefault="00717657" w:rsidP="00316A01">
      <w:pPr>
        <w:pStyle w:val="CPESguidelinesbodytext"/>
      </w:pPr>
      <w:r>
        <w:t xml:space="preserve">A member of the CYPDRC must take all reasonable steps to avoid being placed in a position where a conflict of interest arises during the exercise of the CYPDRC functions. </w:t>
      </w:r>
    </w:p>
    <w:p w14:paraId="0A03F444" w14:textId="77777777" w:rsidR="00717657" w:rsidRDefault="00717657" w:rsidP="00316A01">
      <w:pPr>
        <w:pStyle w:val="CPESguidelinesbodytext"/>
      </w:pPr>
    </w:p>
    <w:p w14:paraId="54BE925E" w14:textId="77777777" w:rsidR="00157FFE" w:rsidRDefault="00157FFE" w:rsidP="00157FFE">
      <w:pPr>
        <w:pStyle w:val="CPESguidelinesbodytext"/>
        <w:rPr>
          <w:i/>
        </w:rPr>
      </w:pPr>
      <w:r>
        <w:t xml:space="preserve">The appointment of individuals, including the reappointment of any current Committee members, to the CYPDRC is subject to the Minister being satisfied that the person is suitable to be a member of the CYPDRC. The Minister must consider suitability information in section 65 (1) of the </w:t>
      </w:r>
      <w:r w:rsidRPr="00A215C4">
        <w:rPr>
          <w:i/>
        </w:rPr>
        <w:t xml:space="preserve">Children and Young People Act 2008. </w:t>
      </w:r>
    </w:p>
    <w:p w14:paraId="2E020CCC" w14:textId="77777777" w:rsidR="00310531" w:rsidRDefault="00310531" w:rsidP="00157FFE">
      <w:pPr>
        <w:pStyle w:val="CPESguidelinesbodytext"/>
        <w:rPr>
          <w:i/>
        </w:rPr>
      </w:pPr>
    </w:p>
    <w:p w14:paraId="1FB1B020" w14:textId="77777777" w:rsidR="00310531" w:rsidRDefault="00310531" w:rsidP="00310531">
      <w:pPr>
        <w:pStyle w:val="CPESguidelinesbodytext"/>
      </w:pPr>
      <w:r>
        <w:t>In accordance with government policy, successful appointees will be asked to complete:</w:t>
      </w:r>
    </w:p>
    <w:p w14:paraId="7EBE7012" w14:textId="77777777" w:rsidR="00310531" w:rsidRDefault="00310531" w:rsidP="00310531">
      <w:pPr>
        <w:pStyle w:val="CPESguidelinesbodytext"/>
      </w:pPr>
    </w:p>
    <w:p w14:paraId="6ADE686F" w14:textId="77777777" w:rsidR="00310531" w:rsidRPr="00397E25" w:rsidRDefault="00310531" w:rsidP="00310531">
      <w:pPr>
        <w:pStyle w:val="CPESguidelinesbodytext"/>
        <w:numPr>
          <w:ilvl w:val="0"/>
          <w:numId w:val="16"/>
        </w:numPr>
      </w:pPr>
      <w:r>
        <w:t xml:space="preserve">Statutory Declaration concerning </w:t>
      </w:r>
      <w:proofErr w:type="gramStart"/>
      <w:r>
        <w:t>suitability;</w:t>
      </w:r>
      <w:proofErr w:type="gramEnd"/>
    </w:p>
    <w:p w14:paraId="71595AF0" w14:textId="77777777" w:rsidR="00310531" w:rsidRDefault="00310531" w:rsidP="00310531">
      <w:pPr>
        <w:pStyle w:val="CPESguidelinesbodytext"/>
        <w:numPr>
          <w:ilvl w:val="0"/>
          <w:numId w:val="16"/>
        </w:numPr>
      </w:pPr>
      <w:r>
        <w:t xml:space="preserve">A criminal National Police Record check by </w:t>
      </w:r>
      <w:proofErr w:type="spellStart"/>
      <w:proofErr w:type="gramStart"/>
      <w:r>
        <w:t>CrimTrac</w:t>
      </w:r>
      <w:proofErr w:type="spellEnd"/>
      <w:r>
        <w:t>;</w:t>
      </w:r>
      <w:proofErr w:type="gramEnd"/>
    </w:p>
    <w:p w14:paraId="0C02A9B1" w14:textId="77777777" w:rsidR="00310531" w:rsidRDefault="00310531" w:rsidP="00310531">
      <w:pPr>
        <w:pStyle w:val="CPESguidelinesbodytext"/>
        <w:numPr>
          <w:ilvl w:val="0"/>
          <w:numId w:val="16"/>
        </w:numPr>
      </w:pPr>
      <w:r>
        <w:t xml:space="preserve">Code of Conduct </w:t>
      </w:r>
      <w:proofErr w:type="gramStart"/>
      <w:r>
        <w:t>Statement;</w:t>
      </w:r>
      <w:proofErr w:type="gramEnd"/>
    </w:p>
    <w:p w14:paraId="5D34B28E" w14:textId="77777777" w:rsidR="00310531" w:rsidRDefault="00310531" w:rsidP="00310531">
      <w:pPr>
        <w:pStyle w:val="CPESguidelinesbodytext"/>
        <w:numPr>
          <w:ilvl w:val="0"/>
          <w:numId w:val="16"/>
        </w:numPr>
      </w:pPr>
      <w:r>
        <w:t>Conflict of interest statement.</w:t>
      </w:r>
    </w:p>
    <w:p w14:paraId="6F745541" w14:textId="77777777" w:rsidR="00310531" w:rsidRDefault="00310531" w:rsidP="00701B96">
      <w:pPr>
        <w:pStyle w:val="Heading1"/>
      </w:pPr>
      <w:r w:rsidRPr="00701B96">
        <w:t>Committee</w:t>
      </w:r>
      <w:r>
        <w:t xml:space="preserve"> meetings</w:t>
      </w:r>
    </w:p>
    <w:p w14:paraId="1E6A1994" w14:textId="77777777" w:rsidR="00717657" w:rsidRPr="009C7395" w:rsidRDefault="00310531" w:rsidP="00316A01">
      <w:pPr>
        <w:pStyle w:val="CPESguidelinesbodytext"/>
        <w:rPr>
          <w:b/>
        </w:rPr>
      </w:pPr>
      <w:r w:rsidRPr="009C7395">
        <w:rPr>
          <w:b/>
        </w:rPr>
        <w:t>Regularity</w:t>
      </w:r>
      <w:r w:rsidR="009C7395">
        <w:rPr>
          <w:b/>
        </w:rPr>
        <w:t>:</w:t>
      </w:r>
      <w:r w:rsidR="009C7395" w:rsidRPr="009C7395">
        <w:rPr>
          <w:rFonts w:ascii="Times New Roman" w:hAnsi="Times New Roman"/>
          <w:sz w:val="24"/>
          <w:szCs w:val="24"/>
          <w:lang w:eastAsia="en-AU"/>
        </w:rPr>
        <w:t xml:space="preserve"> </w:t>
      </w:r>
      <w:r w:rsidR="009C7395" w:rsidRPr="009C7395">
        <w:t>The</w:t>
      </w:r>
      <w:r w:rsidR="009C7395">
        <w:t xml:space="preserve"> Act stipulate that t</w:t>
      </w:r>
      <w:r w:rsidR="009C7395" w:rsidRPr="009C7395">
        <w:t xml:space="preserve">he </w:t>
      </w:r>
      <w:r w:rsidR="009C7395">
        <w:t xml:space="preserve">CYPDRC </w:t>
      </w:r>
      <w:r w:rsidR="009C7395" w:rsidRPr="009C7395">
        <w:t>must</w:t>
      </w:r>
      <w:r w:rsidR="009C7395">
        <w:t xml:space="preserve"> meet at least once each year (727J). However, the meeting schedule will be determined by the CYPDRC when considering workload. Currently the CYPDRC meets four times a year.</w:t>
      </w:r>
    </w:p>
    <w:p w14:paraId="67641689" w14:textId="77777777" w:rsidR="00310531" w:rsidRDefault="00310531" w:rsidP="00316A01">
      <w:pPr>
        <w:pStyle w:val="CPESguidelinesbodytext"/>
      </w:pPr>
    </w:p>
    <w:p w14:paraId="05C16276" w14:textId="77777777" w:rsidR="00310531" w:rsidRDefault="00310531" w:rsidP="009C7395">
      <w:pPr>
        <w:pStyle w:val="CPESguidelinesbodytext"/>
      </w:pPr>
      <w:r w:rsidRPr="009C7395">
        <w:rPr>
          <w:b/>
        </w:rPr>
        <w:t>Presiding Member</w:t>
      </w:r>
      <w:r w:rsidR="009C7395">
        <w:t>: The chair presides at all meetings at which the chair is present. If the chair is absent, the deputy chair presides.</w:t>
      </w:r>
    </w:p>
    <w:p w14:paraId="66EAF06D" w14:textId="77777777" w:rsidR="00310531" w:rsidRDefault="00310531" w:rsidP="00316A01">
      <w:pPr>
        <w:pStyle w:val="CPESguidelinesbodytext"/>
      </w:pPr>
    </w:p>
    <w:p w14:paraId="5E168234" w14:textId="77777777" w:rsidR="00310531" w:rsidRPr="009C7395" w:rsidRDefault="009C7395" w:rsidP="009C7395">
      <w:pPr>
        <w:autoSpaceDE w:val="0"/>
        <w:autoSpaceDN w:val="0"/>
        <w:adjustRightInd w:val="0"/>
      </w:pPr>
      <w:r>
        <w:rPr>
          <w:b/>
        </w:rPr>
        <w:t xml:space="preserve">Quorum: </w:t>
      </w:r>
      <w:r w:rsidRPr="009C7395">
        <w:rPr>
          <w:lang w:val="en-US"/>
        </w:rPr>
        <w:t xml:space="preserve">Business may be carried on at a meeting of the </w:t>
      </w:r>
      <w:r>
        <w:rPr>
          <w:lang w:val="en-US"/>
        </w:rPr>
        <w:t>CYPDRC</w:t>
      </w:r>
      <w:r w:rsidRPr="009C7395">
        <w:rPr>
          <w:lang w:val="en-US"/>
        </w:rPr>
        <w:t xml:space="preserve"> only if at least 1/2 of the members (other than the</w:t>
      </w:r>
      <w:r>
        <w:rPr>
          <w:lang w:val="en-US"/>
        </w:rPr>
        <w:t xml:space="preserve"> </w:t>
      </w:r>
      <w:r w:rsidRPr="009C7395">
        <w:rPr>
          <w:lang w:val="en-US"/>
        </w:rPr>
        <w:t>presiding member) are present.</w:t>
      </w:r>
      <w:r>
        <w:rPr>
          <w:lang w:val="en-US"/>
        </w:rPr>
        <w:t xml:space="preserve"> In addition to this a</w:t>
      </w:r>
      <w:r w:rsidRPr="009C7395">
        <w:t xml:space="preserve"> member must not be represented at a meeting by anyone else.</w:t>
      </w:r>
    </w:p>
    <w:p w14:paraId="208DE15B" w14:textId="77777777" w:rsidR="00310531" w:rsidRPr="009C7395" w:rsidRDefault="00310531" w:rsidP="00316A01">
      <w:pPr>
        <w:pStyle w:val="CPESguidelinesbodytext"/>
      </w:pPr>
    </w:p>
    <w:p w14:paraId="7E0B1913" w14:textId="77777777" w:rsidR="00310531" w:rsidRPr="009C7395" w:rsidRDefault="00310531" w:rsidP="009C7395">
      <w:pPr>
        <w:pStyle w:val="CPESguidelinesbodytext"/>
      </w:pPr>
      <w:r w:rsidRPr="009C7395">
        <w:rPr>
          <w:b/>
        </w:rPr>
        <w:t>Voting</w:t>
      </w:r>
      <w:r w:rsidR="009C7395">
        <w:rPr>
          <w:b/>
        </w:rPr>
        <w:t xml:space="preserve">: </w:t>
      </w:r>
      <w:r w:rsidR="009C7395" w:rsidRPr="009C7395">
        <w:t>At a meeting of the CYP death review committee, each member,</w:t>
      </w:r>
      <w:r w:rsidR="009C7395">
        <w:t xml:space="preserve"> </w:t>
      </w:r>
      <w:r w:rsidR="009C7395" w:rsidRPr="009C7395">
        <w:t>other than the presiding member, has a vote on each question to be</w:t>
      </w:r>
      <w:r w:rsidR="009C7395">
        <w:t xml:space="preserve"> </w:t>
      </w:r>
      <w:r w:rsidR="009C7395" w:rsidRPr="009C7395">
        <w:t>decided.</w:t>
      </w:r>
      <w:r w:rsidR="009C7395">
        <w:t xml:space="preserve">  </w:t>
      </w:r>
      <w:r w:rsidR="009C7395" w:rsidRPr="009C7395">
        <w:t xml:space="preserve">A question is decided by </w:t>
      </w:r>
      <w:proofErr w:type="gramStart"/>
      <w:r w:rsidR="009C7395" w:rsidRPr="009C7395">
        <w:t>a majority of</w:t>
      </w:r>
      <w:proofErr w:type="gramEnd"/>
      <w:r w:rsidR="009C7395" w:rsidRPr="009C7395">
        <w:t xml:space="preserve"> the votes of the members</w:t>
      </w:r>
      <w:r w:rsidR="009C7395">
        <w:t xml:space="preserve"> </w:t>
      </w:r>
      <w:r w:rsidR="009C7395" w:rsidRPr="009C7395">
        <w:t>present and voting.</w:t>
      </w:r>
      <w:r w:rsidR="009C7395">
        <w:t xml:space="preserve"> I</w:t>
      </w:r>
      <w:r w:rsidR="009C7395" w:rsidRPr="009C7395">
        <w:t>f the votes are equal, the presiding member</w:t>
      </w:r>
      <w:r w:rsidR="009C7395">
        <w:t xml:space="preserve"> </w:t>
      </w:r>
      <w:r w:rsidR="009C7395" w:rsidRPr="009C7395">
        <w:t>has a deciding vote</w:t>
      </w:r>
      <w:r w:rsidR="009C7395">
        <w:t>.</w:t>
      </w:r>
    </w:p>
    <w:p w14:paraId="0ACDF6E0" w14:textId="77777777" w:rsidR="00310531" w:rsidRPr="009C7395" w:rsidRDefault="00310531" w:rsidP="00316A01">
      <w:pPr>
        <w:pStyle w:val="CPESguidelinesbodytext"/>
        <w:rPr>
          <w:b/>
        </w:rPr>
      </w:pPr>
    </w:p>
    <w:p w14:paraId="1A84A45A" w14:textId="77777777" w:rsidR="00310531" w:rsidRPr="009C7395" w:rsidRDefault="00310531" w:rsidP="00316A01">
      <w:pPr>
        <w:pStyle w:val="CPESguidelinesbodytext"/>
        <w:rPr>
          <w:b/>
        </w:rPr>
      </w:pPr>
      <w:r w:rsidRPr="009C7395">
        <w:rPr>
          <w:b/>
        </w:rPr>
        <w:t>Administrative /secretariat support:</w:t>
      </w:r>
      <w:r w:rsidR="009C7395">
        <w:rPr>
          <w:b/>
        </w:rPr>
        <w:t xml:space="preserve"> </w:t>
      </w:r>
      <w:r w:rsidR="009C7395" w:rsidRPr="009C7395">
        <w:t>Administrative support is provided by the Directorate responsible for the Act.</w:t>
      </w:r>
    </w:p>
    <w:p w14:paraId="7459A1D9" w14:textId="0E057A1B" w:rsidR="00310531" w:rsidRDefault="00310531" w:rsidP="00701B96">
      <w:pPr>
        <w:pStyle w:val="Heading1"/>
      </w:pPr>
      <w:r w:rsidRPr="00701B96">
        <w:t>Remuneration</w:t>
      </w:r>
    </w:p>
    <w:p w14:paraId="2DA2FDFD" w14:textId="77777777" w:rsidR="00310531" w:rsidRDefault="00310531" w:rsidP="00310531">
      <w:pPr>
        <w:widowControl w:val="0"/>
        <w:contextualSpacing/>
        <w:rPr>
          <w:iCs/>
          <w:lang w:val="en-US"/>
        </w:rPr>
      </w:pPr>
      <w:r>
        <w:rPr>
          <w:iCs/>
          <w:lang w:val="en-US"/>
        </w:rPr>
        <w:t xml:space="preserve">The conditions of appointment of the Chair and members are the conditions stated </w:t>
      </w:r>
      <w:r>
        <w:rPr>
          <w:iCs/>
          <w:lang w:val="en-US"/>
        </w:rPr>
        <w:lastRenderedPageBreak/>
        <w:t>in the appointment, subject to any determination under t</w:t>
      </w:r>
      <w:r w:rsidRPr="009271CE">
        <w:rPr>
          <w:iCs/>
          <w:lang w:val="en-US"/>
        </w:rPr>
        <w:t xml:space="preserve">he </w:t>
      </w:r>
      <w:r w:rsidRPr="009271CE">
        <w:rPr>
          <w:i/>
          <w:iCs/>
          <w:lang w:val="en-US"/>
        </w:rPr>
        <w:t>Remuneration Tribunal Act 1995</w:t>
      </w:r>
      <w:r>
        <w:rPr>
          <w:i/>
          <w:iCs/>
          <w:lang w:val="en-US"/>
        </w:rPr>
        <w:t xml:space="preserve">. </w:t>
      </w:r>
      <w:r w:rsidRPr="009271CE">
        <w:rPr>
          <w:iCs/>
          <w:lang w:val="en-US"/>
        </w:rPr>
        <w:t xml:space="preserve"> </w:t>
      </w:r>
      <w:r>
        <w:rPr>
          <w:iCs/>
          <w:lang w:val="en-US"/>
        </w:rPr>
        <w:t xml:space="preserve">Determinations by the tribunal are found at </w:t>
      </w:r>
      <w:hyperlink r:id="rId10" w:history="1">
        <w:r w:rsidRPr="00071330">
          <w:rPr>
            <w:rStyle w:val="Hyperlink"/>
            <w:rFonts w:ascii="Century Gothic" w:hAnsi="Century Gothic"/>
            <w:iCs/>
            <w:lang w:val="en-US"/>
          </w:rPr>
          <w:t>https://www.remunerationtribunal.act.gov.au/determinations</w:t>
        </w:r>
      </w:hyperlink>
    </w:p>
    <w:p w14:paraId="698BCCB7" w14:textId="77777777" w:rsidR="00310531" w:rsidRDefault="00310531" w:rsidP="00701B96">
      <w:pPr>
        <w:pStyle w:val="Heading1"/>
      </w:pPr>
      <w:r>
        <w:t>Appointment Process</w:t>
      </w:r>
    </w:p>
    <w:p w14:paraId="33397966" w14:textId="77777777" w:rsidR="00B81EA1" w:rsidRDefault="00B81EA1" w:rsidP="00B81EA1">
      <w:r>
        <w:t xml:space="preserve">Appointment as Chair or member of the CYPDRC is a </w:t>
      </w:r>
      <w:r w:rsidR="005C3093">
        <w:t xml:space="preserve">statutory appointment. For all statutory appointments the Minister is required to consult with relevant Standing Committee or the ACT Legislative Assembly; and an appointment is notified on the ACT Legislation Register. </w:t>
      </w:r>
    </w:p>
    <w:p w14:paraId="0482B5A8" w14:textId="77777777" w:rsidR="00310531" w:rsidRDefault="00310531" w:rsidP="00701B96">
      <w:pPr>
        <w:pStyle w:val="Heading1"/>
      </w:pPr>
      <w:r>
        <w:t xml:space="preserve">Ending </w:t>
      </w:r>
      <w:r w:rsidRPr="00701B96">
        <w:t>Appointments</w:t>
      </w:r>
      <w:r>
        <w:t xml:space="preserve"> </w:t>
      </w:r>
    </w:p>
    <w:p w14:paraId="257FAF4C" w14:textId="77777777" w:rsidR="00B81EA1" w:rsidRPr="00B81EA1" w:rsidRDefault="00B81EA1" w:rsidP="00B81EA1">
      <w:pPr>
        <w:autoSpaceDE w:val="0"/>
        <w:autoSpaceDN w:val="0"/>
        <w:adjustRightInd w:val="0"/>
        <w:rPr>
          <w:sz w:val="24"/>
          <w:szCs w:val="24"/>
          <w:lang w:eastAsia="en-AU"/>
        </w:rPr>
      </w:pPr>
      <w:r w:rsidRPr="00B81EA1">
        <w:rPr>
          <w:sz w:val="24"/>
          <w:szCs w:val="24"/>
          <w:lang w:eastAsia="en-AU"/>
        </w:rPr>
        <w:t xml:space="preserve">The Minister may end the appointment of a member of the </w:t>
      </w:r>
      <w:r>
        <w:rPr>
          <w:sz w:val="24"/>
          <w:szCs w:val="24"/>
          <w:lang w:eastAsia="en-AU"/>
        </w:rPr>
        <w:t>CYPDRC</w:t>
      </w:r>
      <w:r w:rsidRPr="00B81EA1">
        <w:rPr>
          <w:sz w:val="24"/>
          <w:szCs w:val="24"/>
          <w:lang w:eastAsia="en-AU"/>
        </w:rPr>
        <w:t xml:space="preserve"> or the</w:t>
      </w:r>
      <w:r>
        <w:rPr>
          <w:sz w:val="24"/>
          <w:szCs w:val="24"/>
          <w:lang w:eastAsia="en-AU"/>
        </w:rPr>
        <w:t xml:space="preserve"> </w:t>
      </w:r>
      <w:r w:rsidRPr="00B81EA1">
        <w:rPr>
          <w:sz w:val="24"/>
          <w:szCs w:val="24"/>
          <w:lang w:eastAsia="en-AU"/>
        </w:rPr>
        <w:t>chair—</w:t>
      </w:r>
    </w:p>
    <w:p w14:paraId="2E74B21B" w14:textId="77777777" w:rsidR="00B81EA1" w:rsidRPr="00B81EA1" w:rsidRDefault="00B81EA1" w:rsidP="00B81EA1">
      <w:pPr>
        <w:numPr>
          <w:ilvl w:val="0"/>
          <w:numId w:val="42"/>
        </w:numPr>
        <w:autoSpaceDE w:val="0"/>
        <w:autoSpaceDN w:val="0"/>
        <w:adjustRightInd w:val="0"/>
        <w:rPr>
          <w:sz w:val="24"/>
          <w:szCs w:val="24"/>
          <w:lang w:eastAsia="en-AU"/>
        </w:rPr>
      </w:pPr>
      <w:r w:rsidRPr="00B81EA1">
        <w:rPr>
          <w:sz w:val="24"/>
          <w:szCs w:val="24"/>
          <w:lang w:eastAsia="en-AU"/>
        </w:rPr>
        <w:t>for misbehaviour; or</w:t>
      </w:r>
    </w:p>
    <w:p w14:paraId="4DE171D3" w14:textId="77777777" w:rsidR="00B81EA1" w:rsidRPr="00B81EA1" w:rsidRDefault="00B81EA1" w:rsidP="00B81EA1">
      <w:pPr>
        <w:numPr>
          <w:ilvl w:val="0"/>
          <w:numId w:val="42"/>
        </w:numPr>
        <w:autoSpaceDE w:val="0"/>
        <w:autoSpaceDN w:val="0"/>
        <w:adjustRightInd w:val="0"/>
        <w:rPr>
          <w:sz w:val="24"/>
          <w:szCs w:val="24"/>
          <w:lang w:eastAsia="en-AU"/>
        </w:rPr>
      </w:pPr>
      <w:r w:rsidRPr="00B81EA1">
        <w:rPr>
          <w:sz w:val="24"/>
          <w:szCs w:val="24"/>
          <w:lang w:eastAsia="en-AU"/>
        </w:rPr>
        <w:t>if the member is convicted, or found guilty, in Australia of an indictable offence; or</w:t>
      </w:r>
    </w:p>
    <w:p w14:paraId="5CD89872" w14:textId="77777777" w:rsidR="00B81EA1" w:rsidRPr="00B81EA1" w:rsidRDefault="00B81EA1" w:rsidP="00B81EA1">
      <w:pPr>
        <w:numPr>
          <w:ilvl w:val="0"/>
          <w:numId w:val="42"/>
        </w:numPr>
        <w:autoSpaceDE w:val="0"/>
        <w:autoSpaceDN w:val="0"/>
        <w:adjustRightInd w:val="0"/>
        <w:rPr>
          <w:sz w:val="24"/>
          <w:szCs w:val="24"/>
          <w:lang w:eastAsia="en-AU"/>
        </w:rPr>
      </w:pPr>
      <w:r w:rsidRPr="00B81EA1">
        <w:rPr>
          <w:sz w:val="24"/>
          <w:szCs w:val="24"/>
          <w:lang w:eastAsia="en-AU"/>
        </w:rPr>
        <w:t>if the member is convicted, or found guilty, outside Australia of an offence that, if it had been committed in the ACT, would be an indictable offence; or</w:t>
      </w:r>
    </w:p>
    <w:p w14:paraId="7C5D43B9" w14:textId="77777777" w:rsidR="00B81EA1" w:rsidRPr="00B81EA1" w:rsidRDefault="00B81EA1" w:rsidP="00B81EA1">
      <w:pPr>
        <w:numPr>
          <w:ilvl w:val="0"/>
          <w:numId w:val="42"/>
        </w:numPr>
        <w:autoSpaceDE w:val="0"/>
        <w:autoSpaceDN w:val="0"/>
        <w:adjustRightInd w:val="0"/>
        <w:rPr>
          <w:sz w:val="24"/>
          <w:szCs w:val="24"/>
          <w:lang w:eastAsia="en-AU"/>
        </w:rPr>
      </w:pPr>
      <w:r w:rsidRPr="00B81EA1">
        <w:rPr>
          <w:sz w:val="24"/>
          <w:szCs w:val="24"/>
          <w:lang w:eastAsia="en-AU"/>
        </w:rPr>
        <w:t xml:space="preserve">if the member is absent from 3 consecutive meetings of the committee, otherwise than on approved </w:t>
      </w:r>
      <w:proofErr w:type="gramStart"/>
      <w:r w:rsidRPr="00B81EA1">
        <w:rPr>
          <w:sz w:val="24"/>
          <w:szCs w:val="24"/>
          <w:lang w:eastAsia="en-AU"/>
        </w:rPr>
        <w:t>leave;</w:t>
      </w:r>
      <w:proofErr w:type="gramEnd"/>
      <w:r w:rsidRPr="00B81EA1">
        <w:rPr>
          <w:sz w:val="24"/>
          <w:szCs w:val="24"/>
          <w:lang w:eastAsia="en-AU"/>
        </w:rPr>
        <w:t xml:space="preserve"> or</w:t>
      </w:r>
    </w:p>
    <w:p w14:paraId="20FC0925" w14:textId="77777777" w:rsidR="00B81EA1" w:rsidRPr="00B81EA1" w:rsidRDefault="00B81EA1" w:rsidP="00B81EA1">
      <w:pPr>
        <w:numPr>
          <w:ilvl w:val="0"/>
          <w:numId w:val="42"/>
        </w:numPr>
        <w:autoSpaceDE w:val="0"/>
        <w:autoSpaceDN w:val="0"/>
        <w:adjustRightInd w:val="0"/>
      </w:pPr>
      <w:r w:rsidRPr="00B81EA1">
        <w:rPr>
          <w:sz w:val="24"/>
          <w:szCs w:val="24"/>
          <w:lang w:eastAsia="en-AU"/>
        </w:rPr>
        <w:t xml:space="preserve">for physical or mental </w:t>
      </w:r>
      <w:proofErr w:type="gramStart"/>
      <w:r w:rsidRPr="00B81EA1">
        <w:rPr>
          <w:sz w:val="24"/>
          <w:szCs w:val="24"/>
          <w:lang w:eastAsia="en-AU"/>
        </w:rPr>
        <w:t>incapacity, if</w:t>
      </w:r>
      <w:proofErr w:type="gramEnd"/>
      <w:r w:rsidRPr="00B81EA1">
        <w:rPr>
          <w:sz w:val="24"/>
          <w:szCs w:val="24"/>
          <w:lang w:eastAsia="en-AU"/>
        </w:rPr>
        <w:t xml:space="preserve"> the incapacity substantially affects the exercise of the member’s functions.</w:t>
      </w:r>
    </w:p>
    <w:p w14:paraId="7FF78A82" w14:textId="77777777" w:rsidR="00B81EA1" w:rsidRPr="00B81EA1" w:rsidRDefault="00B81EA1" w:rsidP="00B81EA1"/>
    <w:p w14:paraId="568994A9" w14:textId="77777777" w:rsidR="00B81EA1" w:rsidRDefault="00B81EA1" w:rsidP="00B81EA1">
      <w:r>
        <w:t>An individual’s appointment may also end if the individual resigns in writing to the Minister.</w:t>
      </w:r>
    </w:p>
    <w:p w14:paraId="1604B8C7" w14:textId="77777777" w:rsidR="0054754D" w:rsidRDefault="0054754D" w:rsidP="00701B96">
      <w:pPr>
        <w:pStyle w:val="Heading1"/>
      </w:pPr>
      <w:r>
        <w:t>Confidentiality Information</w:t>
      </w:r>
    </w:p>
    <w:p w14:paraId="4E316AF5" w14:textId="77777777" w:rsidR="0054754D" w:rsidRPr="00885ED8" w:rsidRDefault="0054754D" w:rsidP="0054754D">
      <w:pPr>
        <w:pStyle w:val="Heading1"/>
        <w:rPr>
          <w:b w:val="0"/>
          <w:color w:val="auto"/>
          <w:sz w:val="22"/>
          <w:szCs w:val="22"/>
          <w:lang w:eastAsia="en-AU"/>
        </w:rPr>
      </w:pPr>
      <w:r w:rsidRPr="00885ED8">
        <w:rPr>
          <w:b w:val="0"/>
          <w:color w:val="auto"/>
          <w:sz w:val="22"/>
          <w:szCs w:val="22"/>
          <w:lang w:eastAsia="en-AU"/>
        </w:rPr>
        <w:t>The management of the information by the CYPDRC is required to comply with relevant legislation including but not limited to the:</w:t>
      </w:r>
    </w:p>
    <w:p w14:paraId="58E1097A" w14:textId="77777777" w:rsidR="0054754D" w:rsidRPr="00885ED8" w:rsidRDefault="0054754D" w:rsidP="0054754D">
      <w:pPr>
        <w:numPr>
          <w:ilvl w:val="0"/>
          <w:numId w:val="44"/>
        </w:numPr>
        <w:rPr>
          <w:i/>
          <w:lang w:eastAsia="en-AU"/>
        </w:rPr>
      </w:pPr>
      <w:r w:rsidRPr="00885ED8">
        <w:rPr>
          <w:i/>
          <w:lang w:eastAsia="en-AU"/>
        </w:rPr>
        <w:t>Children and Young People ACT 2008</w:t>
      </w:r>
    </w:p>
    <w:p w14:paraId="4C356A4E" w14:textId="77777777" w:rsidR="0054754D" w:rsidRPr="00885ED8" w:rsidRDefault="0054754D" w:rsidP="0054754D">
      <w:pPr>
        <w:numPr>
          <w:ilvl w:val="0"/>
          <w:numId w:val="44"/>
        </w:numPr>
        <w:rPr>
          <w:i/>
          <w:lang w:eastAsia="en-AU"/>
        </w:rPr>
      </w:pPr>
      <w:r w:rsidRPr="00885ED8">
        <w:rPr>
          <w:i/>
          <w:lang w:eastAsia="en-AU"/>
        </w:rPr>
        <w:t>Information Privacy Act 2014</w:t>
      </w:r>
    </w:p>
    <w:p w14:paraId="383C1C23" w14:textId="77777777" w:rsidR="0054754D" w:rsidRPr="00885ED8" w:rsidRDefault="0054754D" w:rsidP="0054754D">
      <w:pPr>
        <w:numPr>
          <w:ilvl w:val="0"/>
          <w:numId w:val="44"/>
        </w:numPr>
        <w:rPr>
          <w:i/>
          <w:lang w:eastAsia="en-AU"/>
        </w:rPr>
      </w:pPr>
      <w:r w:rsidRPr="00885ED8">
        <w:rPr>
          <w:i/>
          <w:lang w:eastAsia="en-AU"/>
        </w:rPr>
        <w:t xml:space="preserve">Health Records (Privacy and Access) Act 1997; </w:t>
      </w:r>
      <w:r w:rsidRPr="00D63689">
        <w:rPr>
          <w:lang w:eastAsia="en-AU"/>
        </w:rPr>
        <w:t>and</w:t>
      </w:r>
      <w:r w:rsidRPr="00885ED8">
        <w:rPr>
          <w:i/>
          <w:lang w:eastAsia="en-AU"/>
        </w:rPr>
        <w:t xml:space="preserve"> </w:t>
      </w:r>
    </w:p>
    <w:p w14:paraId="75103078" w14:textId="77777777" w:rsidR="0054754D" w:rsidRPr="00D63689" w:rsidRDefault="0054754D" w:rsidP="0054754D">
      <w:pPr>
        <w:numPr>
          <w:ilvl w:val="0"/>
          <w:numId w:val="44"/>
        </w:numPr>
        <w:rPr>
          <w:lang w:eastAsia="en-AU"/>
        </w:rPr>
      </w:pPr>
      <w:r w:rsidRPr="00885ED8">
        <w:rPr>
          <w:i/>
          <w:lang w:eastAsia="en-AU"/>
        </w:rPr>
        <w:t>Freedom of Information Act 1989</w:t>
      </w:r>
    </w:p>
    <w:p w14:paraId="09206FEC" w14:textId="77777777" w:rsidR="0054754D" w:rsidRPr="00885ED8" w:rsidRDefault="0054754D" w:rsidP="0054754D">
      <w:pPr>
        <w:rPr>
          <w:lang w:eastAsia="en-AU"/>
        </w:rPr>
      </w:pPr>
    </w:p>
    <w:p w14:paraId="3C725BD2" w14:textId="77777777" w:rsidR="0054754D" w:rsidRDefault="0054754D" w:rsidP="0054754D">
      <w:pPr>
        <w:rPr>
          <w:lang w:eastAsia="en-AU"/>
        </w:rPr>
      </w:pPr>
      <w:r>
        <w:rPr>
          <w:lang w:eastAsia="en-AU"/>
        </w:rPr>
        <w:t>The CYPDRC have powers under the Act to request relevant information from certain entities (s727O) such as the Registrar – General and Coroners Court or individuals (other than family members). Interstate agreements are in place and the CYPDRC continues to work with the Australia and New Zealand Death review and Prevention Group.</w:t>
      </w:r>
    </w:p>
    <w:p w14:paraId="11D249F3" w14:textId="5CACBC0B" w:rsidR="00310531" w:rsidRDefault="00310531" w:rsidP="00701B96">
      <w:pPr>
        <w:pStyle w:val="Heading1"/>
      </w:pPr>
      <w:r>
        <w:t>Records Management</w:t>
      </w:r>
    </w:p>
    <w:p w14:paraId="4B6B9F75" w14:textId="77777777" w:rsidR="005C3093" w:rsidRPr="005C3093" w:rsidRDefault="005C3093" w:rsidP="005C3093">
      <w:pPr>
        <w:rPr>
          <w:i/>
        </w:rPr>
      </w:pPr>
      <w:r>
        <w:t xml:space="preserve">The records of the CYPDRC are Territory records for the purposes of the </w:t>
      </w:r>
      <w:r w:rsidRPr="005C3093">
        <w:rPr>
          <w:i/>
        </w:rPr>
        <w:t>Territory Records Act 2002</w:t>
      </w:r>
      <w:r>
        <w:rPr>
          <w:i/>
        </w:rPr>
        <w:t>.</w:t>
      </w:r>
    </w:p>
    <w:sectPr w:rsidR="005C3093" w:rsidRPr="005C3093" w:rsidSect="00701B96">
      <w:headerReference w:type="default" r:id="rId11"/>
      <w:footerReference w:type="default" r:id="rId12"/>
      <w:footerReference w:type="first" r:id="rId13"/>
      <w:pgSz w:w="11906" w:h="16838"/>
      <w:pgMar w:top="1440" w:right="1133"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30680" w14:textId="77777777" w:rsidR="004422BC" w:rsidRDefault="004422BC" w:rsidP="00316A01">
      <w:r>
        <w:separator/>
      </w:r>
    </w:p>
  </w:endnote>
  <w:endnote w:type="continuationSeparator" w:id="0">
    <w:p w14:paraId="3A96BB9B" w14:textId="77777777" w:rsidR="004422BC" w:rsidRDefault="004422BC" w:rsidP="0031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733B" w14:textId="77777777" w:rsidR="00CA3B9E" w:rsidRDefault="00CA3B9E">
    <w:pPr>
      <w:pStyle w:val="Footer"/>
      <w:jc w:val="right"/>
    </w:pPr>
    <w:r>
      <w:t xml:space="preserve">Page | </w:t>
    </w:r>
    <w:r>
      <w:fldChar w:fldCharType="begin"/>
    </w:r>
    <w:r>
      <w:instrText xml:space="preserve"> PAGE   \* MERGEFORMAT </w:instrText>
    </w:r>
    <w:r>
      <w:fldChar w:fldCharType="separate"/>
    </w:r>
    <w:r w:rsidR="00B937D8">
      <w:rPr>
        <w:noProof/>
      </w:rPr>
      <w:t>1</w:t>
    </w:r>
    <w:r>
      <w:rPr>
        <w:noProof/>
      </w:rPr>
      <w:fldChar w:fldCharType="end"/>
    </w:r>
    <w:r>
      <w:t xml:space="preserve"> </w:t>
    </w:r>
  </w:p>
  <w:p w14:paraId="746183F5" w14:textId="77777777" w:rsidR="007107D3" w:rsidRDefault="007107D3" w:rsidP="00316A01">
    <w:pPr>
      <w:pStyle w:val="Footer"/>
      <w:rPr>
        <w:rFonts w:eastAsia="Calibri" w:cs="Calibri"/>
        <w:b/>
        <w:bCs/>
        <w:sz w:val="20"/>
        <w:szCs w:val="20"/>
        <w:lang w:eastAsia="en-AU"/>
      </w:rPr>
    </w:pPr>
  </w:p>
  <w:p w14:paraId="5C1052ED" w14:textId="77777777" w:rsidR="004B53DB" w:rsidRDefault="007107D3" w:rsidP="00316A01">
    <w:pPr>
      <w:pStyle w:val="Footer"/>
    </w:pPr>
    <w:r w:rsidRPr="007107D3">
      <w:rPr>
        <w:rFonts w:eastAsia="Calibri" w:cs="Calibri"/>
        <w:b/>
        <w:bCs/>
        <w:sz w:val="20"/>
        <w:szCs w:val="20"/>
        <w:lang w:eastAsia="en-AU"/>
      </w:rPr>
      <w:t>Disclaimer:</w:t>
    </w:r>
    <w:r w:rsidRPr="007107D3">
      <w:rPr>
        <w:rFonts w:eastAsia="Calibri" w:cs="Calibri"/>
        <w:sz w:val="20"/>
        <w:szCs w:val="20"/>
        <w:lang w:eastAsia="en-AU"/>
      </w:rPr>
      <w:t xml:space="preserve"> </w:t>
    </w:r>
    <w:r w:rsidRPr="007107D3">
      <w:rPr>
        <w:rFonts w:eastAsia="Calibri" w:cs="Calibri"/>
        <w:i/>
        <w:iCs/>
        <w:sz w:val="20"/>
        <w:szCs w:val="20"/>
        <w:lang w:eastAsia="en-AU"/>
      </w:rPr>
      <w:t>In accordance with the principles outline</w:t>
    </w:r>
    <w:r w:rsidR="00E26615">
      <w:rPr>
        <w:rFonts w:eastAsia="Calibri" w:cs="Calibri"/>
        <w:i/>
        <w:iCs/>
        <w:sz w:val="20"/>
        <w:szCs w:val="20"/>
        <w:lang w:eastAsia="en-AU"/>
      </w:rPr>
      <w:t>d</w:t>
    </w:r>
    <w:r w:rsidRPr="007107D3">
      <w:rPr>
        <w:rFonts w:eastAsia="Calibri" w:cs="Calibri"/>
        <w:i/>
        <w:iCs/>
        <w:sz w:val="20"/>
        <w:szCs w:val="20"/>
        <w:lang w:eastAsia="en-AU"/>
      </w:rPr>
      <w:t xml:space="preserve"> under section 3(c) of the </w:t>
    </w:r>
    <w:hyperlink r:id="rId1" w:history="1">
      <w:r w:rsidRPr="007107D3">
        <w:rPr>
          <w:rFonts w:eastAsia="Calibri" w:cs="Calibri"/>
          <w:i/>
          <w:iCs/>
          <w:color w:val="0563C1"/>
          <w:sz w:val="20"/>
          <w:szCs w:val="20"/>
          <w:u w:val="single"/>
          <w:lang w:eastAsia="en-AU"/>
        </w:rPr>
        <w:t>2020 Guidance on Caretaker Conventions</w:t>
      </w:r>
    </w:hyperlink>
    <w:r w:rsidRPr="007107D3">
      <w:rPr>
        <w:rFonts w:eastAsia="Calibri" w:cs="Calibri"/>
        <w:i/>
        <w:iCs/>
        <w:sz w:val="20"/>
        <w:szCs w:val="20"/>
        <w:lang w:eastAsia="en-AU"/>
      </w:rPr>
      <w:t>, candidates should be shortlisted and decided by the incoming government.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E457" w14:textId="77777777" w:rsidR="007107D3" w:rsidRDefault="007107D3">
    <w:pPr>
      <w:pStyle w:val="Footer"/>
    </w:pPr>
    <w:r w:rsidRPr="007107D3">
      <w:rPr>
        <w:rFonts w:eastAsia="Calibri" w:cs="Calibri"/>
        <w:b/>
        <w:bCs/>
        <w:sz w:val="20"/>
        <w:szCs w:val="20"/>
        <w:lang w:eastAsia="en-AU"/>
      </w:rPr>
      <w:t>Disclaimer:</w:t>
    </w:r>
    <w:r w:rsidRPr="007107D3">
      <w:rPr>
        <w:rFonts w:eastAsia="Calibri" w:cs="Calibri"/>
        <w:sz w:val="20"/>
        <w:szCs w:val="20"/>
        <w:lang w:eastAsia="en-AU"/>
      </w:rPr>
      <w:t xml:space="preserve"> </w:t>
    </w:r>
    <w:r w:rsidRPr="007107D3">
      <w:rPr>
        <w:rFonts w:eastAsia="Calibri" w:cs="Calibri"/>
        <w:i/>
        <w:iCs/>
        <w:sz w:val="20"/>
        <w:szCs w:val="20"/>
        <w:lang w:eastAsia="en-AU"/>
      </w:rPr>
      <w:t>In accordance with the principles outline</w:t>
    </w:r>
    <w:r w:rsidR="00E26615">
      <w:rPr>
        <w:rFonts w:eastAsia="Calibri" w:cs="Calibri"/>
        <w:i/>
        <w:iCs/>
        <w:sz w:val="20"/>
        <w:szCs w:val="20"/>
        <w:lang w:eastAsia="en-AU"/>
      </w:rPr>
      <w:t>d</w:t>
    </w:r>
    <w:r w:rsidRPr="007107D3">
      <w:rPr>
        <w:rFonts w:eastAsia="Calibri" w:cs="Calibri"/>
        <w:i/>
        <w:iCs/>
        <w:sz w:val="20"/>
        <w:szCs w:val="20"/>
        <w:lang w:eastAsia="en-AU"/>
      </w:rPr>
      <w:t xml:space="preserve"> under section 3(c) of the </w:t>
    </w:r>
    <w:hyperlink r:id="rId1" w:history="1">
      <w:r w:rsidRPr="007107D3">
        <w:rPr>
          <w:rFonts w:eastAsia="Calibri" w:cs="Calibri"/>
          <w:i/>
          <w:iCs/>
          <w:color w:val="0563C1"/>
          <w:sz w:val="20"/>
          <w:szCs w:val="20"/>
          <w:u w:val="single"/>
          <w:lang w:eastAsia="en-AU"/>
        </w:rPr>
        <w:t>2020 Guidance on Caretaker Conventions</w:t>
      </w:r>
    </w:hyperlink>
    <w:r w:rsidRPr="007107D3">
      <w:rPr>
        <w:rFonts w:eastAsia="Calibri" w:cs="Calibri"/>
        <w:i/>
        <w:iCs/>
        <w:sz w:val="20"/>
        <w:szCs w:val="20"/>
        <w:lang w:eastAsia="en-AU"/>
      </w:rPr>
      <w:t>, candidates should be shortlisted and decided by the incoming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4A038" w14:textId="77777777" w:rsidR="004422BC" w:rsidRDefault="004422BC" w:rsidP="00316A01">
      <w:r>
        <w:separator/>
      </w:r>
    </w:p>
  </w:footnote>
  <w:footnote w:type="continuationSeparator" w:id="0">
    <w:p w14:paraId="2EADB0E7" w14:textId="77777777" w:rsidR="004422BC" w:rsidRDefault="004422BC" w:rsidP="0031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9FA7" w14:textId="77777777" w:rsidR="004B53DB" w:rsidRPr="008B3809" w:rsidRDefault="000046C6" w:rsidP="00316A01">
    <w:pPr>
      <w:pStyle w:val="Header"/>
      <w:rPr>
        <w:rFonts w:ascii="Century Gothic" w:hAnsi="Century Gothic"/>
      </w:rPr>
    </w:pPr>
    <w:r>
      <w:rPr>
        <w:rFonts w:ascii="Century Gothic" w:hAnsi="Century Gothic"/>
      </w:rPr>
      <w:t>Information Guide</w:t>
    </w:r>
    <w:r w:rsidR="007069FE" w:rsidRPr="008B3809">
      <w:rPr>
        <w:rFonts w:ascii="Century Gothic" w:hAnsi="Century Gothic"/>
      </w:rPr>
      <w:t xml:space="preserve"> ACT Child and Young People Death Review Committee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FB245E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96FD7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1A658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B5CF1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975AD05A"/>
    <w:lvl w:ilvl="0">
      <w:numFmt w:val="decimal"/>
      <w:lvlText w:val="*"/>
      <w:lvlJc w:val="left"/>
    </w:lvl>
  </w:abstractNum>
  <w:abstractNum w:abstractNumId="5" w15:restartNumberingAfterBreak="0">
    <w:nsid w:val="00CC4000"/>
    <w:multiLevelType w:val="hybridMultilevel"/>
    <w:tmpl w:val="657A86E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493138"/>
    <w:multiLevelType w:val="hybridMultilevel"/>
    <w:tmpl w:val="D33E8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25135A"/>
    <w:multiLevelType w:val="hybridMultilevel"/>
    <w:tmpl w:val="26223444"/>
    <w:lvl w:ilvl="0" w:tplc="04090001">
      <w:start w:val="1"/>
      <w:numFmt w:val="bullet"/>
      <w:lvlText w:val=""/>
      <w:lvlJc w:val="left"/>
      <w:pPr>
        <w:tabs>
          <w:tab w:val="num" w:pos="795"/>
        </w:tabs>
        <w:ind w:left="795" w:hanging="360"/>
      </w:pPr>
      <w:rPr>
        <w:rFonts w:ascii="Symbol" w:hAnsi="Symbol" w:hint="default"/>
      </w:rPr>
    </w:lvl>
    <w:lvl w:ilvl="1" w:tplc="198C6A24">
      <w:start w:val="1"/>
      <w:numFmt w:val="decimal"/>
      <w:lvlText w:val="%2."/>
      <w:lvlJc w:val="left"/>
      <w:pPr>
        <w:tabs>
          <w:tab w:val="num" w:pos="1515"/>
        </w:tabs>
        <w:ind w:left="1515" w:hanging="360"/>
      </w:pPr>
      <w:rPr>
        <w:rFont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0F4746CB"/>
    <w:multiLevelType w:val="hybridMultilevel"/>
    <w:tmpl w:val="524EE98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0F9446D9"/>
    <w:multiLevelType w:val="hybridMultilevel"/>
    <w:tmpl w:val="6420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084A97"/>
    <w:multiLevelType w:val="hybridMultilevel"/>
    <w:tmpl w:val="B15ED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AD22D8"/>
    <w:multiLevelType w:val="multilevel"/>
    <w:tmpl w:val="0DAE53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943BC"/>
    <w:multiLevelType w:val="hybridMultilevel"/>
    <w:tmpl w:val="6D5E31B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4C71850"/>
    <w:multiLevelType w:val="hybridMultilevel"/>
    <w:tmpl w:val="DA48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403AF"/>
    <w:multiLevelType w:val="hybridMultilevel"/>
    <w:tmpl w:val="F6E67714"/>
    <w:lvl w:ilvl="0" w:tplc="AF9C8208">
      <w:start w:val="1"/>
      <w:numFmt w:val="bullet"/>
      <w:lvlText w:val=""/>
      <w:lvlJc w:val="left"/>
      <w:pPr>
        <w:tabs>
          <w:tab w:val="num" w:pos="1021"/>
        </w:tabs>
        <w:ind w:left="102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841C5"/>
    <w:multiLevelType w:val="hybridMultilevel"/>
    <w:tmpl w:val="EB06F076"/>
    <w:lvl w:ilvl="0" w:tplc="0C090003">
      <w:start w:val="1"/>
      <w:numFmt w:val="bullet"/>
      <w:lvlText w:val="o"/>
      <w:lvlJc w:val="left"/>
      <w:pPr>
        <w:tabs>
          <w:tab w:val="num" w:pos="785"/>
        </w:tabs>
        <w:ind w:left="785" w:hanging="360"/>
      </w:pPr>
      <w:rPr>
        <w:rFonts w:ascii="Courier New" w:hAnsi="Courier New" w:cs="Courier New" w:hint="default"/>
      </w:rPr>
    </w:lvl>
    <w:lvl w:ilvl="1" w:tplc="0C090003" w:tentative="1">
      <w:start w:val="1"/>
      <w:numFmt w:val="bullet"/>
      <w:lvlText w:val="o"/>
      <w:lvlJc w:val="left"/>
      <w:pPr>
        <w:tabs>
          <w:tab w:val="num" w:pos="1505"/>
        </w:tabs>
        <w:ind w:left="1505" w:hanging="360"/>
      </w:pPr>
      <w:rPr>
        <w:rFonts w:ascii="Courier New" w:hAnsi="Courier New" w:cs="Courier New" w:hint="default"/>
      </w:rPr>
    </w:lvl>
    <w:lvl w:ilvl="2" w:tplc="0C090005" w:tentative="1">
      <w:start w:val="1"/>
      <w:numFmt w:val="bullet"/>
      <w:lvlText w:val=""/>
      <w:lvlJc w:val="left"/>
      <w:pPr>
        <w:tabs>
          <w:tab w:val="num" w:pos="2225"/>
        </w:tabs>
        <w:ind w:left="2225" w:hanging="360"/>
      </w:pPr>
      <w:rPr>
        <w:rFonts w:ascii="Wingdings" w:hAnsi="Wingdings" w:hint="default"/>
      </w:rPr>
    </w:lvl>
    <w:lvl w:ilvl="3" w:tplc="0C090001" w:tentative="1">
      <w:start w:val="1"/>
      <w:numFmt w:val="bullet"/>
      <w:lvlText w:val=""/>
      <w:lvlJc w:val="left"/>
      <w:pPr>
        <w:tabs>
          <w:tab w:val="num" w:pos="2945"/>
        </w:tabs>
        <w:ind w:left="2945" w:hanging="360"/>
      </w:pPr>
      <w:rPr>
        <w:rFonts w:ascii="Symbol" w:hAnsi="Symbol" w:hint="default"/>
      </w:rPr>
    </w:lvl>
    <w:lvl w:ilvl="4" w:tplc="0C090003" w:tentative="1">
      <w:start w:val="1"/>
      <w:numFmt w:val="bullet"/>
      <w:lvlText w:val="o"/>
      <w:lvlJc w:val="left"/>
      <w:pPr>
        <w:tabs>
          <w:tab w:val="num" w:pos="3665"/>
        </w:tabs>
        <w:ind w:left="3665" w:hanging="360"/>
      </w:pPr>
      <w:rPr>
        <w:rFonts w:ascii="Courier New" w:hAnsi="Courier New" w:cs="Courier New" w:hint="default"/>
      </w:rPr>
    </w:lvl>
    <w:lvl w:ilvl="5" w:tplc="0C090005" w:tentative="1">
      <w:start w:val="1"/>
      <w:numFmt w:val="bullet"/>
      <w:lvlText w:val=""/>
      <w:lvlJc w:val="left"/>
      <w:pPr>
        <w:tabs>
          <w:tab w:val="num" w:pos="4385"/>
        </w:tabs>
        <w:ind w:left="4385" w:hanging="360"/>
      </w:pPr>
      <w:rPr>
        <w:rFonts w:ascii="Wingdings" w:hAnsi="Wingdings" w:hint="default"/>
      </w:rPr>
    </w:lvl>
    <w:lvl w:ilvl="6" w:tplc="0C090001" w:tentative="1">
      <w:start w:val="1"/>
      <w:numFmt w:val="bullet"/>
      <w:lvlText w:val=""/>
      <w:lvlJc w:val="left"/>
      <w:pPr>
        <w:tabs>
          <w:tab w:val="num" w:pos="5105"/>
        </w:tabs>
        <w:ind w:left="5105" w:hanging="360"/>
      </w:pPr>
      <w:rPr>
        <w:rFonts w:ascii="Symbol" w:hAnsi="Symbol" w:hint="default"/>
      </w:rPr>
    </w:lvl>
    <w:lvl w:ilvl="7" w:tplc="0C090003" w:tentative="1">
      <w:start w:val="1"/>
      <w:numFmt w:val="bullet"/>
      <w:lvlText w:val="o"/>
      <w:lvlJc w:val="left"/>
      <w:pPr>
        <w:tabs>
          <w:tab w:val="num" w:pos="5825"/>
        </w:tabs>
        <w:ind w:left="5825" w:hanging="360"/>
      </w:pPr>
      <w:rPr>
        <w:rFonts w:ascii="Courier New" w:hAnsi="Courier New" w:cs="Courier New" w:hint="default"/>
      </w:rPr>
    </w:lvl>
    <w:lvl w:ilvl="8" w:tplc="0C090005" w:tentative="1">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302B0BC9"/>
    <w:multiLevelType w:val="hybridMultilevel"/>
    <w:tmpl w:val="C2083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E46A27"/>
    <w:multiLevelType w:val="hybridMultilevel"/>
    <w:tmpl w:val="7192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D26FB5"/>
    <w:multiLevelType w:val="hybridMultilevel"/>
    <w:tmpl w:val="657A8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E21318"/>
    <w:multiLevelType w:val="hybridMultilevel"/>
    <w:tmpl w:val="5FF21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B1318"/>
    <w:multiLevelType w:val="hybridMultilevel"/>
    <w:tmpl w:val="4372024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38974AC2"/>
    <w:multiLevelType w:val="hybridMultilevel"/>
    <w:tmpl w:val="5FC22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40F2D"/>
    <w:multiLevelType w:val="hybridMultilevel"/>
    <w:tmpl w:val="C882A1C8"/>
    <w:lvl w:ilvl="0" w:tplc="D0085D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715722"/>
    <w:multiLevelType w:val="hybridMultilevel"/>
    <w:tmpl w:val="EA0C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9D7082"/>
    <w:multiLevelType w:val="hybridMultilevel"/>
    <w:tmpl w:val="70FE195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47A3000"/>
    <w:multiLevelType w:val="hybridMultilevel"/>
    <w:tmpl w:val="564AB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03C81"/>
    <w:multiLevelType w:val="hybridMultilevel"/>
    <w:tmpl w:val="B45C9C66"/>
    <w:lvl w:ilvl="0" w:tplc="C9E29F10">
      <w:start w:val="1"/>
      <w:numFmt w:val="bullet"/>
      <w:lvlText w:val="-"/>
      <w:lvlJc w:val="left"/>
      <w:pPr>
        <w:tabs>
          <w:tab w:val="num" w:pos="851"/>
        </w:tabs>
        <w:ind w:left="851" w:hanging="426"/>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A26B3"/>
    <w:multiLevelType w:val="hybridMultilevel"/>
    <w:tmpl w:val="D12C31D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48D017F8"/>
    <w:multiLevelType w:val="hybridMultilevel"/>
    <w:tmpl w:val="6B146D92"/>
    <w:lvl w:ilvl="0" w:tplc="0409000F">
      <w:start w:val="1"/>
      <w:numFmt w:val="decimal"/>
      <w:lvlText w:val="%1."/>
      <w:lvlJc w:val="left"/>
      <w:pPr>
        <w:tabs>
          <w:tab w:val="num" w:pos="360"/>
        </w:tabs>
        <w:ind w:left="360" w:hanging="360"/>
      </w:pPr>
    </w:lvl>
    <w:lvl w:ilvl="1" w:tplc="7A9E94FC">
      <w:start w:val="1"/>
      <w:numFmt w:val="bullet"/>
      <w:lvlText w:val=""/>
      <w:lvlJc w:val="left"/>
      <w:pPr>
        <w:tabs>
          <w:tab w:val="num" w:pos="1080"/>
        </w:tabs>
        <w:ind w:left="720" w:firstLine="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9726D3E"/>
    <w:multiLevelType w:val="hybridMultilevel"/>
    <w:tmpl w:val="43F43FE0"/>
    <w:lvl w:ilvl="0" w:tplc="06F4FFD6">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0A751F"/>
    <w:multiLevelType w:val="hybridMultilevel"/>
    <w:tmpl w:val="23C49CCA"/>
    <w:lvl w:ilvl="0" w:tplc="1D303A48">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B82266"/>
    <w:multiLevelType w:val="hybridMultilevel"/>
    <w:tmpl w:val="BF942A02"/>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2" w15:restartNumberingAfterBreak="0">
    <w:nsid w:val="5524046C"/>
    <w:multiLevelType w:val="hybridMultilevel"/>
    <w:tmpl w:val="C52CE45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55393E44"/>
    <w:multiLevelType w:val="hybridMultilevel"/>
    <w:tmpl w:val="657A86E8"/>
    <w:lvl w:ilvl="0" w:tplc="01AA1A46">
      <w:start w:val="1"/>
      <w:numFmt w:val="lowerLetter"/>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EC3769"/>
    <w:multiLevelType w:val="hybridMultilevel"/>
    <w:tmpl w:val="FC3A066A"/>
    <w:lvl w:ilvl="0" w:tplc="9B8AA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076C1"/>
    <w:multiLevelType w:val="hybridMultilevel"/>
    <w:tmpl w:val="5D50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FB63B1"/>
    <w:multiLevelType w:val="hybridMultilevel"/>
    <w:tmpl w:val="774AF610"/>
    <w:lvl w:ilvl="0" w:tplc="9712F21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285FE3"/>
    <w:multiLevelType w:val="hybridMultilevel"/>
    <w:tmpl w:val="9B604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826C50"/>
    <w:multiLevelType w:val="hybridMultilevel"/>
    <w:tmpl w:val="267CE530"/>
    <w:lvl w:ilvl="0" w:tplc="62A0E9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632A4"/>
    <w:multiLevelType w:val="hybridMultilevel"/>
    <w:tmpl w:val="0DAE5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669C3"/>
    <w:multiLevelType w:val="hybridMultilevel"/>
    <w:tmpl w:val="657A86E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677BE4"/>
    <w:multiLevelType w:val="hybridMultilevel"/>
    <w:tmpl w:val="64CAF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4"/>
  </w:num>
  <w:num w:numId="3">
    <w:abstractNumId w:val="28"/>
  </w:num>
  <w:num w:numId="4">
    <w:abstractNumId w:val="4"/>
    <w:lvlOverride w:ilvl="0">
      <w:lvl w:ilvl="0">
        <w:start w:val="1"/>
        <w:numFmt w:val="bullet"/>
        <w:lvlText w:val=""/>
        <w:legacy w:legacy="1" w:legacySpace="120" w:legacyIndent="425"/>
        <w:lvlJc w:val="left"/>
        <w:pPr>
          <w:ind w:left="425" w:hanging="425"/>
        </w:pPr>
        <w:rPr>
          <w:rFonts w:ascii="Symbol" w:hAnsi="Symbol" w:hint="default"/>
          <w:sz w:val="20"/>
        </w:rPr>
      </w:lvl>
    </w:lvlOverride>
  </w:num>
  <w:num w:numId="5">
    <w:abstractNumId w:val="4"/>
    <w:lvlOverride w:ilvl="0">
      <w:lvl w:ilvl="0">
        <w:start w:val="1"/>
        <w:numFmt w:val="bullet"/>
        <w:lvlText w:val="-"/>
        <w:legacy w:legacy="1" w:legacySpace="120" w:legacyIndent="426"/>
        <w:lvlJc w:val="left"/>
        <w:pPr>
          <w:ind w:left="851" w:hanging="426"/>
        </w:pPr>
      </w:lvl>
    </w:lvlOverride>
  </w:num>
  <w:num w:numId="6">
    <w:abstractNumId w:val="19"/>
  </w:num>
  <w:num w:numId="7">
    <w:abstractNumId w:val="33"/>
  </w:num>
  <w:num w:numId="8">
    <w:abstractNumId w:val="10"/>
  </w:num>
  <w:num w:numId="9">
    <w:abstractNumId w:val="12"/>
  </w:num>
  <w:num w:numId="10">
    <w:abstractNumId w:val="0"/>
  </w:num>
  <w:num w:numId="11">
    <w:abstractNumId w:val="3"/>
  </w:num>
  <w:num w:numId="12">
    <w:abstractNumId w:val="2"/>
  </w:num>
  <w:num w:numId="13">
    <w:abstractNumId w:val="1"/>
  </w:num>
  <w:num w:numId="14">
    <w:abstractNumId w:val="8"/>
  </w:num>
  <w:num w:numId="15">
    <w:abstractNumId w:val="39"/>
  </w:num>
  <w:num w:numId="16">
    <w:abstractNumId w:val="21"/>
  </w:num>
  <w:num w:numId="17">
    <w:abstractNumId w:val="41"/>
  </w:num>
  <w:num w:numId="18">
    <w:abstractNumId w:val="32"/>
  </w:num>
  <w:num w:numId="19">
    <w:abstractNumId w:val="7"/>
  </w:num>
  <w:num w:numId="20">
    <w:abstractNumId w:val="16"/>
  </w:num>
  <w:num w:numId="21">
    <w:abstractNumId w:val="31"/>
  </w:num>
  <w:num w:numId="22">
    <w:abstractNumId w:val="26"/>
  </w:num>
  <w:num w:numId="23">
    <w:abstractNumId w:val="5"/>
  </w:num>
  <w:num w:numId="24">
    <w:abstractNumId w:val="40"/>
  </w:num>
  <w:num w:numId="25">
    <w:abstractNumId w:val="18"/>
  </w:num>
  <w:num w:numId="26">
    <w:abstractNumId w:val="27"/>
  </w:num>
  <w:num w:numId="27">
    <w:abstractNumId w:val="20"/>
  </w:num>
  <w:num w:numId="28">
    <w:abstractNumId w:val="4"/>
    <w:lvlOverride w:ilvl="0">
      <w:lvl w:ilvl="0">
        <w:numFmt w:val="bullet"/>
        <w:lvlText w:val="•"/>
        <w:legacy w:legacy="1" w:legacySpace="0" w:legacyIndent="0"/>
        <w:lvlJc w:val="left"/>
        <w:rPr>
          <w:rFonts w:ascii="Helv" w:hAnsi="Helv" w:hint="default"/>
        </w:rPr>
      </w:lvl>
    </w:lvlOverride>
  </w:num>
  <w:num w:numId="29">
    <w:abstractNumId w:val="11"/>
  </w:num>
  <w:num w:numId="30">
    <w:abstractNumId w:val="34"/>
  </w:num>
  <w:num w:numId="31">
    <w:abstractNumId w:val="15"/>
  </w:num>
  <w:num w:numId="32">
    <w:abstractNumId w:val="9"/>
  </w:num>
  <w:num w:numId="33">
    <w:abstractNumId w:val="17"/>
  </w:num>
  <w:num w:numId="34">
    <w:abstractNumId w:val="6"/>
  </w:num>
  <w:num w:numId="35">
    <w:abstractNumId w:val="24"/>
  </w:num>
  <w:num w:numId="36">
    <w:abstractNumId w:val="35"/>
  </w:num>
  <w:num w:numId="37">
    <w:abstractNumId w:val="29"/>
  </w:num>
  <w:num w:numId="38">
    <w:abstractNumId w:val="13"/>
  </w:num>
  <w:num w:numId="39">
    <w:abstractNumId w:val="37"/>
  </w:num>
  <w:num w:numId="40">
    <w:abstractNumId w:val="30"/>
  </w:num>
  <w:num w:numId="41">
    <w:abstractNumId w:val="22"/>
  </w:num>
  <w:num w:numId="42">
    <w:abstractNumId w:val="23"/>
  </w:num>
  <w:num w:numId="43">
    <w:abstractNumId w:val="3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AD"/>
    <w:rsid w:val="000046C6"/>
    <w:rsid w:val="0001332D"/>
    <w:rsid w:val="00041CBA"/>
    <w:rsid w:val="000478A4"/>
    <w:rsid w:val="00061745"/>
    <w:rsid w:val="00114E60"/>
    <w:rsid w:val="00136433"/>
    <w:rsid w:val="00152F6E"/>
    <w:rsid w:val="00157FFE"/>
    <w:rsid w:val="0018069D"/>
    <w:rsid w:val="001A0A93"/>
    <w:rsid w:val="001B3979"/>
    <w:rsid w:val="001E5F1E"/>
    <w:rsid w:val="00241147"/>
    <w:rsid w:val="00257834"/>
    <w:rsid w:val="00310531"/>
    <w:rsid w:val="003130BA"/>
    <w:rsid w:val="00314334"/>
    <w:rsid w:val="00316A01"/>
    <w:rsid w:val="00324319"/>
    <w:rsid w:val="00335682"/>
    <w:rsid w:val="00344307"/>
    <w:rsid w:val="00350714"/>
    <w:rsid w:val="0035397D"/>
    <w:rsid w:val="00397E25"/>
    <w:rsid w:val="003C3E18"/>
    <w:rsid w:val="003E6887"/>
    <w:rsid w:val="00415B4E"/>
    <w:rsid w:val="004277AF"/>
    <w:rsid w:val="00427E97"/>
    <w:rsid w:val="004422BC"/>
    <w:rsid w:val="00443A34"/>
    <w:rsid w:val="00475CA6"/>
    <w:rsid w:val="00484DE2"/>
    <w:rsid w:val="004B53DB"/>
    <w:rsid w:val="00510B55"/>
    <w:rsid w:val="0054754D"/>
    <w:rsid w:val="005C3093"/>
    <w:rsid w:val="005D7FFE"/>
    <w:rsid w:val="005E2249"/>
    <w:rsid w:val="005E7197"/>
    <w:rsid w:val="00610F95"/>
    <w:rsid w:val="00625D2E"/>
    <w:rsid w:val="00627E8A"/>
    <w:rsid w:val="00643495"/>
    <w:rsid w:val="0065579A"/>
    <w:rsid w:val="006829D6"/>
    <w:rsid w:val="006A524F"/>
    <w:rsid w:val="00701B96"/>
    <w:rsid w:val="00703BD0"/>
    <w:rsid w:val="007069FE"/>
    <w:rsid w:val="007103B0"/>
    <w:rsid w:val="007107D3"/>
    <w:rsid w:val="0071174B"/>
    <w:rsid w:val="00716EDE"/>
    <w:rsid w:val="00717657"/>
    <w:rsid w:val="007337AA"/>
    <w:rsid w:val="00752F6C"/>
    <w:rsid w:val="0083056B"/>
    <w:rsid w:val="0089640B"/>
    <w:rsid w:val="008A360D"/>
    <w:rsid w:val="008B19AD"/>
    <w:rsid w:val="008B3809"/>
    <w:rsid w:val="008B65FF"/>
    <w:rsid w:val="008C127D"/>
    <w:rsid w:val="009271CE"/>
    <w:rsid w:val="00943B91"/>
    <w:rsid w:val="0099308B"/>
    <w:rsid w:val="009B347E"/>
    <w:rsid w:val="009B5817"/>
    <w:rsid w:val="009C6EAD"/>
    <w:rsid w:val="009C7395"/>
    <w:rsid w:val="009D0A3C"/>
    <w:rsid w:val="009E274B"/>
    <w:rsid w:val="00A20DFE"/>
    <w:rsid w:val="00A215C4"/>
    <w:rsid w:val="00A52804"/>
    <w:rsid w:val="00AA3D34"/>
    <w:rsid w:val="00AB1698"/>
    <w:rsid w:val="00AB3A5F"/>
    <w:rsid w:val="00B460AD"/>
    <w:rsid w:val="00B728BC"/>
    <w:rsid w:val="00B81EA1"/>
    <w:rsid w:val="00B83637"/>
    <w:rsid w:val="00B937D8"/>
    <w:rsid w:val="00C270ED"/>
    <w:rsid w:val="00C51AD8"/>
    <w:rsid w:val="00CA3B9E"/>
    <w:rsid w:val="00CF21E8"/>
    <w:rsid w:val="00D43500"/>
    <w:rsid w:val="00DA0170"/>
    <w:rsid w:val="00DA1328"/>
    <w:rsid w:val="00DF65A2"/>
    <w:rsid w:val="00E103BD"/>
    <w:rsid w:val="00E26615"/>
    <w:rsid w:val="00E654F1"/>
    <w:rsid w:val="00EA72E7"/>
    <w:rsid w:val="00F236F6"/>
    <w:rsid w:val="00F36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04EB1D"/>
  <w15:chartTrackingRefBased/>
  <w15:docId w15:val="{A4F169B4-6669-4D9B-A21A-B6FA081C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01"/>
    <w:rPr>
      <w:rFonts w:ascii="Century Gothic" w:hAnsi="Century Gothic"/>
      <w:sz w:val="22"/>
      <w:szCs w:val="22"/>
      <w:lang w:eastAsia="en-US"/>
    </w:rPr>
  </w:style>
  <w:style w:type="paragraph" w:styleId="Heading1">
    <w:name w:val="heading 1"/>
    <w:basedOn w:val="DHSGuidelinesHeading2"/>
    <w:next w:val="Normal"/>
    <w:qFormat/>
    <w:rsid w:val="00701B96"/>
    <w:pPr>
      <w:spacing w:before="240"/>
      <w:outlineLvl w:val="0"/>
    </w:pPr>
    <w:rPr>
      <w:color w:val="2E74B5"/>
    </w:rPr>
  </w:style>
  <w:style w:type="paragraph" w:styleId="Heading2">
    <w:name w:val="heading 2"/>
    <w:basedOn w:val="DHSGuidelinesHd3"/>
    <w:next w:val="Normal"/>
    <w:qFormat/>
    <w:rsid w:val="00316A01"/>
    <w:pPr>
      <w:outlineLvl w:val="1"/>
    </w:pPr>
  </w:style>
  <w:style w:type="paragraph" w:styleId="Heading3">
    <w:name w:val="heading 3"/>
    <w:basedOn w:val="Normal"/>
    <w:next w:val="Normal"/>
    <w:qFormat/>
    <w:pPr>
      <w:keepNext/>
      <w:jc w:val="both"/>
      <w:outlineLvl w:val="2"/>
    </w:pPr>
    <w:rPr>
      <w:b/>
      <w:bCs/>
    </w:rPr>
  </w:style>
  <w:style w:type="paragraph" w:styleId="Heading5">
    <w:name w:val="heading 5"/>
    <w:basedOn w:val="Normal"/>
    <w:next w:val="Normal"/>
    <w:qFormat/>
    <w:pPr>
      <w:keepNext/>
      <w:jc w:val="center"/>
      <w:outlineLvl w:val="4"/>
    </w:pPr>
    <w:rPr>
      <w:b/>
      <w:bCs/>
      <w:szCs w:val="20"/>
      <w:lang w:val="en-US"/>
    </w:rPr>
  </w:style>
  <w:style w:type="paragraph" w:styleId="Heading6">
    <w:name w:val="heading 6"/>
    <w:basedOn w:val="Normal"/>
    <w:next w:val="Normal"/>
    <w:qFormat/>
    <w:pPr>
      <w:keepNext/>
      <w:spacing w:before="360" w:after="180"/>
      <w:jc w:val="both"/>
      <w:outlineLvl w:val="5"/>
    </w:pPr>
    <w:rPr>
      <w:b/>
      <w:bCs/>
      <w:sz w:val="18"/>
      <w:szCs w:val="20"/>
      <w:lang w:val="en-US"/>
    </w:rPr>
  </w:style>
  <w:style w:type="paragraph" w:styleId="Heading7">
    <w:name w:val="heading 7"/>
    <w:basedOn w:val="Normal"/>
    <w:next w:val="Normal"/>
    <w:qFormat/>
    <w:pPr>
      <w:keepNext/>
      <w:spacing w:before="240" w:after="120"/>
      <w:ind w:left="357" w:hanging="357"/>
      <w:outlineLvl w:val="6"/>
    </w:pPr>
    <w:rPr>
      <w:b/>
      <w:spacing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Times New Roman" w:hAnsi="Times New Roman"/>
      <w:sz w:val="24"/>
      <w:szCs w:val="20"/>
      <w:lang w:val="en-US"/>
    </w:rPr>
  </w:style>
  <w:style w:type="paragraph" w:styleId="Header">
    <w:name w:val="header"/>
    <w:basedOn w:val="Normal"/>
    <w:pPr>
      <w:tabs>
        <w:tab w:val="center" w:pos="4153"/>
        <w:tab w:val="right" w:pos="8306"/>
      </w:tabs>
    </w:pPr>
    <w:rPr>
      <w:rFonts w:ascii="Times New Roman" w:hAnsi="Times New Roman"/>
      <w:szCs w:val="20"/>
    </w:rPr>
  </w:style>
  <w:style w:type="paragraph" w:styleId="BodyTextIndent">
    <w:name w:val="Body Text Indent"/>
    <w:basedOn w:val="Normal"/>
    <w:pPr>
      <w:spacing w:after="120"/>
      <w:ind w:left="720" w:hanging="720"/>
      <w:jc w:val="both"/>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overflowPunct w:val="0"/>
      <w:autoSpaceDE w:val="0"/>
      <w:autoSpaceDN w:val="0"/>
      <w:adjustRightInd w:val="0"/>
      <w:textAlignment w:val="baseline"/>
    </w:pPr>
    <w:rPr>
      <w:rFonts w:ascii="Arial" w:hAnsi="Arial"/>
      <w:sz w:val="24"/>
      <w:szCs w:val="20"/>
    </w:rPr>
  </w:style>
  <w:style w:type="paragraph" w:styleId="BodyText3">
    <w:name w:val="Body Text 3"/>
    <w:basedOn w:val="Normal"/>
    <w:pPr>
      <w:spacing w:before="240"/>
      <w:jc w:val="both"/>
    </w:pPr>
  </w:style>
  <w:style w:type="paragraph" w:styleId="BodyTextIndent2">
    <w:name w:val="Body Text Indent 2"/>
    <w:basedOn w:val="Normal"/>
    <w:pPr>
      <w:spacing w:after="120"/>
      <w:ind w:left="360"/>
    </w:pPr>
  </w:style>
  <w:style w:type="paragraph" w:customStyle="1" w:styleId="CPESguidelines">
    <w:name w:val="CPES guidelines"/>
    <w:basedOn w:val="Normal"/>
    <w:pPr>
      <w:spacing w:before="120" w:after="120"/>
      <w:ind w:left="142"/>
    </w:pPr>
    <w:rPr>
      <w:sz w:val="40"/>
    </w:rPr>
  </w:style>
  <w:style w:type="paragraph" w:styleId="ListBullet4">
    <w:name w:val="List Bullet 4"/>
    <w:basedOn w:val="Normal"/>
    <w:autoRedefine/>
    <w:pPr>
      <w:numPr>
        <w:numId w:val="10"/>
      </w:numPr>
    </w:pPr>
  </w:style>
  <w:style w:type="paragraph" w:customStyle="1" w:styleId="DHSguidelinesTitle">
    <w:name w:val="DHS guidelines  Title"/>
    <w:basedOn w:val="Normal"/>
    <w:pPr>
      <w:spacing w:before="120" w:after="120"/>
      <w:ind w:left="142"/>
    </w:pPr>
    <w:rPr>
      <w:sz w:val="40"/>
    </w:rPr>
  </w:style>
  <w:style w:type="paragraph" w:customStyle="1" w:styleId="DHSguidelinesAppendix">
    <w:name w:val="DHS guidelines Appendix"/>
    <w:basedOn w:val="Normal"/>
    <w:pPr>
      <w:spacing w:before="120" w:after="120"/>
      <w:ind w:left="142"/>
    </w:pPr>
    <w:rPr>
      <w:rFonts w:ascii="v" w:hAnsi="v"/>
      <w:sz w:val="28"/>
    </w:rPr>
  </w:style>
  <w:style w:type="paragraph" w:customStyle="1" w:styleId="DHSguidelinesContents">
    <w:name w:val="DHS guidelines Contents"/>
    <w:basedOn w:val="Normal"/>
    <w:pPr>
      <w:spacing w:before="120" w:after="120"/>
      <w:ind w:left="142"/>
    </w:pPr>
    <w:rPr>
      <w:b/>
      <w:color w:val="000080"/>
      <w:sz w:val="32"/>
    </w:rPr>
  </w:style>
  <w:style w:type="paragraph" w:customStyle="1" w:styleId="DHSGuidelinesHd3">
    <w:name w:val="DHS Guidelines Hd 3"/>
    <w:basedOn w:val="Normal"/>
    <w:next w:val="Normal"/>
    <w:rPr>
      <w:b/>
      <w:color w:val="000080"/>
      <w:szCs w:val="20"/>
    </w:rPr>
  </w:style>
  <w:style w:type="paragraph" w:customStyle="1" w:styleId="DHSGuidelinesHd4">
    <w:name w:val="DHS Guidelines Hd 4"/>
    <w:basedOn w:val="Heading3"/>
    <w:next w:val="Heading3"/>
    <w:autoRedefine/>
    <w:pPr>
      <w:widowControl w:val="0"/>
      <w:overflowPunct w:val="0"/>
      <w:autoSpaceDE w:val="0"/>
      <w:autoSpaceDN w:val="0"/>
      <w:adjustRightInd w:val="0"/>
      <w:jc w:val="left"/>
      <w:textAlignment w:val="baseline"/>
    </w:pPr>
    <w:rPr>
      <w:rFonts w:cs="Arial"/>
      <w:color w:val="000000"/>
      <w:sz w:val="19"/>
      <w:szCs w:val="18"/>
      <w:lang w:val="en-US"/>
    </w:rPr>
  </w:style>
  <w:style w:type="paragraph" w:customStyle="1" w:styleId="DHSGuidelinesHeading1">
    <w:name w:val="DHS Guidelines Heading 1"/>
    <w:basedOn w:val="Normal"/>
    <w:next w:val="Normal"/>
    <w:pPr>
      <w:widowControl w:val="0"/>
      <w:overflowPunct w:val="0"/>
      <w:autoSpaceDE w:val="0"/>
      <w:autoSpaceDN w:val="0"/>
      <w:adjustRightInd w:val="0"/>
      <w:spacing w:after="120" w:line="280" w:lineRule="exact"/>
      <w:textAlignment w:val="baseline"/>
    </w:pPr>
    <w:rPr>
      <w:sz w:val="28"/>
      <w:szCs w:val="20"/>
    </w:rPr>
  </w:style>
  <w:style w:type="paragraph" w:customStyle="1" w:styleId="DHSGuidelinesHeading2">
    <w:name w:val="DHS Guidelines Heading 2"/>
    <w:basedOn w:val="DHSGuidelinesHeading1"/>
    <w:next w:val="Normal"/>
    <w:pPr>
      <w:spacing w:line="240" w:lineRule="exact"/>
    </w:pPr>
    <w:rPr>
      <w:b/>
      <w:sz w:val="24"/>
    </w:rPr>
  </w:style>
  <w:style w:type="paragraph" w:customStyle="1" w:styleId="DHSguidelinesTableheading">
    <w:name w:val="DHS guidelines Table heading"/>
    <w:basedOn w:val="Normal"/>
    <w:pPr>
      <w:spacing w:before="120" w:after="120"/>
      <w:ind w:left="142"/>
    </w:pPr>
    <w:rPr>
      <w:b/>
      <w:sz w:val="19"/>
    </w:rPr>
  </w:style>
  <w:style w:type="paragraph" w:customStyle="1" w:styleId="DHSguidelinesTabletext">
    <w:name w:val="DHS guidelines Table text"/>
    <w:basedOn w:val="Normal"/>
    <w:pPr>
      <w:spacing w:before="120" w:after="120"/>
      <w:ind w:left="142"/>
    </w:pPr>
    <w:rPr>
      <w:sz w:val="19"/>
    </w:rPr>
  </w:style>
  <w:style w:type="paragraph" w:customStyle="1" w:styleId="DHSReportHd1">
    <w:name w:val="DHS Report Hd 1"/>
    <w:basedOn w:val="Normal"/>
    <w:next w:val="Normal"/>
    <w:pPr>
      <w:spacing w:line="360" w:lineRule="exact"/>
    </w:pPr>
    <w:rPr>
      <w:sz w:val="40"/>
      <w:szCs w:val="20"/>
    </w:rPr>
  </w:style>
  <w:style w:type="paragraph" w:customStyle="1" w:styleId="CPESguidelinesSubTitle">
    <w:name w:val="CPES guidelines Sub Title"/>
    <w:basedOn w:val="Heading5"/>
    <w:pPr>
      <w:jc w:val="left"/>
    </w:pPr>
    <w:rPr>
      <w:sz w:val="32"/>
    </w:rPr>
  </w:style>
  <w:style w:type="paragraph" w:customStyle="1" w:styleId="Style1">
    <w:name w:val="Style1"/>
    <w:basedOn w:val="Heading5"/>
    <w:rPr>
      <w:sz w:val="32"/>
    </w:rPr>
  </w:style>
  <w:style w:type="paragraph" w:customStyle="1" w:styleId="CPESdateTitle">
    <w:name w:val="CPES date Title"/>
    <w:basedOn w:val="Header"/>
    <w:rPr>
      <w:rFonts w:ascii="Verdana" w:hAnsi="Verdana"/>
      <w:b/>
      <w:bCs/>
      <w:sz w:val="19"/>
      <w:lang w:val="en-US"/>
    </w:rPr>
  </w:style>
  <w:style w:type="paragraph" w:customStyle="1" w:styleId="DHSText10pt">
    <w:name w:val="DHS Text 10pt"/>
    <w:basedOn w:val="Normal"/>
    <w:pPr>
      <w:widowControl w:val="0"/>
      <w:overflowPunct w:val="0"/>
      <w:autoSpaceDE w:val="0"/>
      <w:autoSpaceDN w:val="0"/>
      <w:adjustRightInd w:val="0"/>
      <w:textAlignment w:val="baseline"/>
    </w:pPr>
    <w:rPr>
      <w:szCs w:val="20"/>
    </w:rPr>
  </w:style>
  <w:style w:type="character" w:styleId="Hyperlink">
    <w:name w:val="Hyperlink"/>
    <w:rPr>
      <w:rFonts w:ascii="Verdana" w:hAnsi="Verdana"/>
      <w:color w:val="0000FF"/>
      <w:u w:val="single"/>
    </w:rPr>
  </w:style>
  <w:style w:type="character" w:styleId="PageNumber">
    <w:name w:val="page number"/>
    <w:basedOn w:val="DefaultParagraphFont"/>
  </w:style>
  <w:style w:type="paragraph" w:customStyle="1" w:styleId="CPESguidelinesbodytext">
    <w:name w:val="CPES guidelines body text"/>
    <w:basedOn w:val="Normal"/>
    <w:rPr>
      <w:lang w:val="en-US"/>
    </w:rPr>
  </w:style>
  <w:style w:type="paragraph" w:styleId="ListBullet3">
    <w:name w:val="List Bullet 3"/>
    <w:aliases w:val="CPES guidelines Bullet Point 1"/>
    <w:basedOn w:val="Normal"/>
    <w:autoRedefine/>
    <w:pPr>
      <w:numPr>
        <w:numId w:val="13"/>
      </w:numPr>
    </w:pPr>
  </w:style>
  <w:style w:type="paragraph" w:styleId="TOC1">
    <w:name w:val="toc 1"/>
    <w:basedOn w:val="Normal"/>
    <w:next w:val="Normal"/>
    <w:autoRedefine/>
    <w:semiHidden/>
    <w:pPr>
      <w:tabs>
        <w:tab w:val="right" w:leader="dot" w:pos="8296"/>
      </w:tabs>
    </w:pPr>
    <w:rPr>
      <w:b/>
      <w:bCs/>
      <w:noProof/>
      <w:szCs w:val="28"/>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character" w:styleId="CommentReference">
    <w:name w:val="annotation reference"/>
    <w:rsid w:val="00041CBA"/>
    <w:rPr>
      <w:sz w:val="16"/>
      <w:szCs w:val="16"/>
    </w:rPr>
  </w:style>
  <w:style w:type="paragraph" w:styleId="CommentText">
    <w:name w:val="annotation text"/>
    <w:basedOn w:val="Normal"/>
    <w:link w:val="CommentTextChar"/>
    <w:rsid w:val="00041CBA"/>
    <w:rPr>
      <w:sz w:val="20"/>
      <w:szCs w:val="20"/>
    </w:rPr>
  </w:style>
  <w:style w:type="character" w:customStyle="1" w:styleId="CommentTextChar">
    <w:name w:val="Comment Text Char"/>
    <w:link w:val="CommentText"/>
    <w:rsid w:val="00041CBA"/>
    <w:rPr>
      <w:rFonts w:ascii="Century Gothic" w:hAnsi="Century Gothic"/>
      <w:lang w:eastAsia="en-US"/>
    </w:rPr>
  </w:style>
  <w:style w:type="paragraph" w:styleId="CommentSubject">
    <w:name w:val="annotation subject"/>
    <w:basedOn w:val="CommentText"/>
    <w:next w:val="CommentText"/>
    <w:link w:val="CommentSubjectChar"/>
    <w:rsid w:val="00041CBA"/>
    <w:rPr>
      <w:b/>
      <w:bCs/>
    </w:rPr>
  </w:style>
  <w:style w:type="character" w:customStyle="1" w:styleId="CommentSubjectChar">
    <w:name w:val="Comment Subject Char"/>
    <w:link w:val="CommentSubject"/>
    <w:rsid w:val="00041CBA"/>
    <w:rPr>
      <w:rFonts w:ascii="Century Gothic" w:hAnsi="Century Gothic"/>
      <w:b/>
      <w:bCs/>
      <w:lang w:eastAsia="en-US"/>
    </w:rPr>
  </w:style>
  <w:style w:type="paragraph" w:styleId="BalloonText">
    <w:name w:val="Balloon Text"/>
    <w:basedOn w:val="Normal"/>
    <w:link w:val="BalloonTextChar"/>
    <w:rsid w:val="00041CBA"/>
    <w:rPr>
      <w:rFonts w:ascii="Segoe UI" w:hAnsi="Segoe UI" w:cs="Segoe UI"/>
      <w:sz w:val="18"/>
      <w:szCs w:val="18"/>
    </w:rPr>
  </w:style>
  <w:style w:type="character" w:customStyle="1" w:styleId="BalloonTextChar">
    <w:name w:val="Balloon Text Char"/>
    <w:link w:val="BalloonText"/>
    <w:rsid w:val="00041CBA"/>
    <w:rPr>
      <w:rFonts w:ascii="Segoe UI" w:hAnsi="Segoe UI" w:cs="Segoe UI"/>
      <w:sz w:val="18"/>
      <w:szCs w:val="18"/>
      <w:lang w:eastAsia="en-US"/>
    </w:rPr>
  </w:style>
  <w:style w:type="character" w:customStyle="1" w:styleId="FooterChar">
    <w:name w:val="Footer Char"/>
    <w:link w:val="Footer"/>
    <w:uiPriority w:val="99"/>
    <w:rsid w:val="00CA3B9E"/>
    <w:rPr>
      <w:rFonts w:ascii="Century Gothic" w:hAnsi="Century Gothi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munerationtribunal.act.gov.au/determinations" TargetMode="External"/><Relationship Id="rId4" Type="http://schemas.openxmlformats.org/officeDocument/2006/relationships/settings" Target="settings.xml"/><Relationship Id="rId9" Type="http://schemas.openxmlformats.org/officeDocument/2006/relationships/hyperlink" Target="http://www.act.legislation.act.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legislation.act.gov.au/View/a/2008-19/current/PDF/2008-19.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legislation.act.gov.au/View/a/2008-19/current/PDF/200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9C58-EE8A-45A8-9393-4CF84D54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1409</Words>
  <Characters>7461</Characters>
  <Application>Microsoft Office Word</Application>
  <DocSecurity>0</DocSecurity>
  <Lines>240</Lines>
  <Paragraphs>109</Paragraphs>
  <ScaleCrop>false</ScaleCrop>
  <HeadingPairs>
    <vt:vector size="2" baseType="variant">
      <vt:variant>
        <vt:lpstr>Title</vt:lpstr>
      </vt:variant>
      <vt:variant>
        <vt:i4>1</vt:i4>
      </vt:variant>
    </vt:vector>
  </HeadingPairs>
  <TitlesOfParts>
    <vt:vector size="1" baseType="lpstr">
      <vt:lpstr>EXPRESSIONS OF INTEREST FOR</vt:lpstr>
    </vt:vector>
  </TitlesOfParts>
  <Company>Department of Human Services</Company>
  <LinksUpToDate>false</LinksUpToDate>
  <CharactersWithSpaces>8761</CharactersWithSpaces>
  <SharedDoc>false</SharedDoc>
  <HLinks>
    <vt:vector size="24" baseType="variant">
      <vt:variant>
        <vt:i4>6815851</vt:i4>
      </vt:variant>
      <vt:variant>
        <vt:i4>3</vt:i4>
      </vt:variant>
      <vt:variant>
        <vt:i4>0</vt:i4>
      </vt:variant>
      <vt:variant>
        <vt:i4>5</vt:i4>
      </vt:variant>
      <vt:variant>
        <vt:lpwstr>https://www.remunerationtribunal.act.gov.au/determinations</vt:lpwstr>
      </vt:variant>
      <vt:variant>
        <vt:lpwstr/>
      </vt:variant>
      <vt:variant>
        <vt:i4>6946865</vt:i4>
      </vt:variant>
      <vt:variant>
        <vt:i4>0</vt:i4>
      </vt:variant>
      <vt:variant>
        <vt:i4>0</vt:i4>
      </vt:variant>
      <vt:variant>
        <vt:i4>5</vt:i4>
      </vt:variant>
      <vt:variant>
        <vt:lpwstr>http://www.act.legislation.act.gov.au/</vt:lpwstr>
      </vt:variant>
      <vt:variant>
        <vt:lpwstr/>
      </vt:variant>
      <vt:variant>
        <vt:i4>2031629</vt:i4>
      </vt:variant>
      <vt:variant>
        <vt:i4>6</vt:i4>
      </vt:variant>
      <vt:variant>
        <vt:i4>0</vt:i4>
      </vt:variant>
      <vt:variant>
        <vt:i4>5</vt:i4>
      </vt:variant>
      <vt:variant>
        <vt:lpwstr>https://www.legislation.act.gov.au/View/a/2008-19/current/PDF/2008-19.PDF</vt:lpwstr>
      </vt:variant>
      <vt:variant>
        <vt:lpwstr/>
      </vt:variant>
      <vt:variant>
        <vt:i4>2031629</vt:i4>
      </vt:variant>
      <vt:variant>
        <vt:i4>3</vt:i4>
      </vt:variant>
      <vt:variant>
        <vt:i4>0</vt:i4>
      </vt:variant>
      <vt:variant>
        <vt:i4>5</vt:i4>
      </vt:variant>
      <vt:variant>
        <vt:lpwstr>https://www.legislation.act.gov.au/View/a/2008-19/current/PDF/2008-19.PDF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OF INTEREST FOR</dc:title>
  <dc:subject/>
  <dc:creator>Lesley McInerney</dc:creator>
  <cp:keywords/>
  <dc:description/>
  <cp:lastModifiedBy>Barr, Beverley (CSD)</cp:lastModifiedBy>
  <cp:revision>3</cp:revision>
  <cp:lastPrinted>2008-03-05T03:08:00Z</cp:lastPrinted>
  <dcterms:created xsi:type="dcterms:W3CDTF">2020-09-21T00:52:00Z</dcterms:created>
  <dcterms:modified xsi:type="dcterms:W3CDTF">2020-09-21T01:41:00Z</dcterms:modified>
</cp:coreProperties>
</file>